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28" w:rsidRDefault="008D0A28" w:rsidP="008D0A28">
      <w:pPr>
        <w:pStyle w:val="Heading2"/>
        <w:rPr>
          <w:rFonts w:ascii="Arial" w:eastAsia="Calibri" w:hAnsi="Arial" w:cs="Arial"/>
          <w:b w:val="0"/>
          <w:bCs w:val="0"/>
          <w:color w:val="000000"/>
          <w:sz w:val="21"/>
          <w:szCs w:val="21"/>
          <w:lang w:eastAsia="en-CA"/>
        </w:rPr>
      </w:pPr>
      <w:bookmarkStart w:id="0" w:name="_Toc286004715"/>
      <w:bookmarkStart w:id="1" w:name="_Toc308010986"/>
    </w:p>
    <w:p w:rsidR="008D0A28" w:rsidRDefault="008D0A28" w:rsidP="008D0A28">
      <w:pPr>
        <w:pStyle w:val="Heading2"/>
        <w:rPr>
          <w:rFonts w:ascii="Arial" w:eastAsia="Calibri" w:hAnsi="Arial" w:cs="Arial"/>
          <w:b w:val="0"/>
          <w:bCs w:val="0"/>
          <w:color w:val="000000"/>
          <w:sz w:val="24"/>
          <w:szCs w:val="24"/>
          <w:lang w:eastAsia="en-CA"/>
        </w:rPr>
      </w:pPr>
      <w:r>
        <w:rPr>
          <w:rFonts w:ascii="Arial" w:eastAsia="Calibri" w:hAnsi="Arial" w:cs="Arial"/>
          <w:b w:val="0"/>
          <w:bCs w:val="0"/>
          <w:color w:val="000000"/>
          <w:sz w:val="24"/>
          <w:szCs w:val="24"/>
          <w:lang w:eastAsia="en-CA"/>
        </w:rPr>
        <w:t>NB High School Mathematics Curriculum Summary                               November 2011</w:t>
      </w:r>
    </w:p>
    <w:p w:rsidR="008D0A28" w:rsidRPr="008D0A28" w:rsidRDefault="008D0A28" w:rsidP="008D0A28">
      <w:pPr>
        <w:pStyle w:val="Heading2"/>
        <w:rPr>
          <w:rFonts w:ascii="Arial" w:eastAsia="Calibri" w:hAnsi="Arial" w:cs="Arial"/>
          <w:b w:val="0"/>
          <w:bCs w:val="0"/>
          <w:color w:val="000000"/>
          <w:sz w:val="24"/>
          <w:szCs w:val="24"/>
          <w:lang w:eastAsia="en-CA"/>
        </w:rPr>
      </w:pPr>
      <w:r w:rsidRPr="008D0A28">
        <w:rPr>
          <w:rFonts w:ascii="Arial" w:eastAsia="Calibri" w:hAnsi="Arial" w:cs="Arial"/>
          <w:b w:val="0"/>
          <w:bCs w:val="0"/>
          <w:color w:val="000000"/>
          <w:sz w:val="24"/>
          <w:szCs w:val="24"/>
          <w:lang w:eastAsia="en-CA"/>
        </w:rPr>
        <w:t>PATHWAYS AND TOPICS</w:t>
      </w:r>
      <w:bookmarkEnd w:id="0"/>
      <w:bookmarkEnd w:id="1"/>
    </w:p>
    <w:p w:rsidR="008D0A28" w:rsidRPr="008D0A28" w:rsidRDefault="008D0A28" w:rsidP="008D0A28">
      <w:pPr>
        <w:rPr>
          <w:rFonts w:ascii="Arial" w:eastAsia="Calibri" w:hAnsi="Arial" w:cs="Arial"/>
          <w:sz w:val="21"/>
          <w:szCs w:val="21"/>
          <w:lang w:eastAsia="en-CA"/>
        </w:rPr>
      </w:pPr>
    </w:p>
    <w:p w:rsidR="008D0A28" w:rsidRPr="008D0A28" w:rsidRDefault="008D0A28" w:rsidP="008D0A28">
      <w:pPr>
        <w:autoSpaceDE w:val="0"/>
        <w:autoSpaceDN w:val="0"/>
        <w:adjustRightInd w:val="0"/>
        <w:rPr>
          <w:rFonts w:ascii="Arial" w:eastAsia="Calibri" w:hAnsi="Arial" w:cs="Arial"/>
          <w:sz w:val="21"/>
          <w:szCs w:val="21"/>
          <w:lang w:eastAsia="en-CA"/>
        </w:rPr>
      </w:pPr>
      <w:r w:rsidRPr="008D0A28">
        <w:rPr>
          <w:rFonts w:ascii="Arial" w:eastAsia="Calibri" w:hAnsi="Arial" w:cs="Arial"/>
          <w:i/>
          <w:iCs/>
          <w:sz w:val="21"/>
          <w:szCs w:val="21"/>
          <w:lang w:eastAsia="en-CA"/>
        </w:rPr>
        <w:t xml:space="preserve">The Common Curriculum Framework for Grades 10–12 </w:t>
      </w:r>
      <w:r w:rsidRPr="008D0A28">
        <w:rPr>
          <w:rFonts w:ascii="Arial" w:eastAsia="Calibri" w:hAnsi="Arial" w:cs="Arial"/>
          <w:iCs/>
          <w:sz w:val="21"/>
          <w:szCs w:val="21"/>
          <w:lang w:eastAsia="en-CA"/>
        </w:rPr>
        <w:t>Mathematics on which the New Brunswick Grades 10-12 Mathematics curriculum is based,</w:t>
      </w:r>
      <w:r w:rsidRPr="008D0A28">
        <w:rPr>
          <w:rFonts w:ascii="Arial" w:eastAsia="Calibri" w:hAnsi="Arial" w:cs="Arial"/>
          <w:i/>
          <w:iCs/>
          <w:sz w:val="21"/>
          <w:szCs w:val="21"/>
          <w:lang w:eastAsia="en-CA"/>
        </w:rPr>
        <w:t xml:space="preserve"> </w:t>
      </w:r>
      <w:r w:rsidRPr="008D0A28">
        <w:rPr>
          <w:rFonts w:ascii="Arial" w:eastAsia="Calibri" w:hAnsi="Arial" w:cs="Arial"/>
          <w:sz w:val="21"/>
          <w:szCs w:val="21"/>
          <w:lang w:eastAsia="en-CA"/>
        </w:rPr>
        <w:t xml:space="preserve">includes pathways and topics rather than strands as in </w:t>
      </w:r>
      <w:r w:rsidRPr="008D0A28">
        <w:rPr>
          <w:rFonts w:ascii="Arial" w:eastAsia="Calibri" w:hAnsi="Arial" w:cs="Arial"/>
          <w:i/>
          <w:iCs/>
          <w:sz w:val="21"/>
          <w:szCs w:val="21"/>
          <w:lang w:eastAsia="en-CA"/>
        </w:rPr>
        <w:t>The Common Curriculum Framework for K–9 Mathematics</w:t>
      </w:r>
      <w:r w:rsidRPr="008D0A28">
        <w:rPr>
          <w:rFonts w:ascii="Arial" w:eastAsia="Calibri" w:hAnsi="Arial" w:cs="Arial"/>
          <w:sz w:val="21"/>
          <w:szCs w:val="21"/>
          <w:lang w:eastAsia="en-CA"/>
        </w:rPr>
        <w:t xml:space="preserve">. In New Brunswick all Grade 10 students share a common curriculum covered in two courses:  </w:t>
      </w:r>
      <w:r w:rsidRPr="008D0A28">
        <w:rPr>
          <w:rFonts w:ascii="Arial" w:eastAsia="Calibri" w:hAnsi="Arial" w:cs="Arial"/>
          <w:i/>
          <w:sz w:val="21"/>
          <w:szCs w:val="21"/>
          <w:lang w:eastAsia="en-CA"/>
        </w:rPr>
        <w:t>Geometry, Measurement and Finance 10</w:t>
      </w:r>
      <w:r w:rsidRPr="008D0A28">
        <w:rPr>
          <w:rFonts w:ascii="Arial" w:eastAsia="Calibri" w:hAnsi="Arial" w:cs="Arial"/>
          <w:sz w:val="21"/>
          <w:szCs w:val="21"/>
          <w:lang w:eastAsia="en-CA"/>
        </w:rPr>
        <w:t xml:space="preserve"> and </w:t>
      </w:r>
      <w:r w:rsidRPr="008D0A28">
        <w:rPr>
          <w:rFonts w:ascii="Arial" w:eastAsia="Calibri" w:hAnsi="Arial" w:cs="Arial"/>
          <w:i/>
          <w:sz w:val="21"/>
          <w:szCs w:val="21"/>
          <w:lang w:eastAsia="en-CA"/>
        </w:rPr>
        <w:t>Number, Relations and Functions 10</w:t>
      </w:r>
      <w:r w:rsidRPr="008D0A28">
        <w:rPr>
          <w:rFonts w:ascii="Arial" w:eastAsia="Calibri" w:hAnsi="Arial" w:cs="Arial"/>
          <w:sz w:val="21"/>
          <w:szCs w:val="21"/>
          <w:lang w:eastAsia="en-CA"/>
        </w:rPr>
        <w:t xml:space="preserve">.   Starting in Grade 11, three pathways are available: </w:t>
      </w:r>
      <w:r w:rsidRPr="008D0A28">
        <w:rPr>
          <w:rFonts w:ascii="Arial" w:eastAsia="Calibri" w:hAnsi="Arial" w:cs="Arial"/>
          <w:i/>
          <w:sz w:val="21"/>
          <w:szCs w:val="21"/>
          <w:lang w:eastAsia="en-CA"/>
        </w:rPr>
        <w:t>Finance and Workplace</w:t>
      </w:r>
      <w:r w:rsidRPr="008D0A28">
        <w:rPr>
          <w:rFonts w:ascii="Arial" w:eastAsia="Calibri" w:hAnsi="Arial" w:cs="Arial"/>
          <w:sz w:val="21"/>
          <w:szCs w:val="21"/>
          <w:lang w:eastAsia="en-CA"/>
        </w:rPr>
        <w:t xml:space="preserve">, </w:t>
      </w:r>
      <w:r w:rsidRPr="008D0A28">
        <w:rPr>
          <w:rFonts w:ascii="Arial" w:eastAsia="Calibri" w:hAnsi="Arial" w:cs="Arial"/>
          <w:i/>
          <w:sz w:val="21"/>
          <w:szCs w:val="21"/>
          <w:lang w:eastAsia="en-CA"/>
        </w:rPr>
        <w:t>Foundations of Mathematics</w:t>
      </w:r>
      <w:r w:rsidRPr="008D0A28">
        <w:rPr>
          <w:rFonts w:ascii="Arial" w:eastAsia="Calibri" w:hAnsi="Arial" w:cs="Arial"/>
          <w:sz w:val="21"/>
          <w:szCs w:val="21"/>
          <w:lang w:eastAsia="en-CA"/>
        </w:rPr>
        <w:t xml:space="preserve">, and </w:t>
      </w:r>
      <w:r w:rsidRPr="008D0A28">
        <w:rPr>
          <w:rFonts w:ascii="Arial" w:eastAsia="Calibri" w:hAnsi="Arial" w:cs="Arial"/>
          <w:i/>
          <w:sz w:val="21"/>
          <w:szCs w:val="21"/>
          <w:lang w:eastAsia="en-CA"/>
        </w:rPr>
        <w:t>Pre-Calculus</w:t>
      </w:r>
      <w:r w:rsidRPr="008D0A28">
        <w:rPr>
          <w:rFonts w:ascii="Arial" w:eastAsia="Calibri" w:hAnsi="Arial" w:cs="Arial"/>
          <w:sz w:val="21"/>
          <w:szCs w:val="21"/>
          <w:lang w:eastAsia="en-CA"/>
        </w:rPr>
        <w:t xml:space="preserve">.   </w:t>
      </w:r>
    </w:p>
    <w:p w:rsidR="008D0A28" w:rsidRPr="008D0A28" w:rsidRDefault="008D0A28" w:rsidP="008D0A28">
      <w:pPr>
        <w:autoSpaceDE w:val="0"/>
        <w:autoSpaceDN w:val="0"/>
        <w:adjustRightInd w:val="0"/>
        <w:rPr>
          <w:rFonts w:ascii="Arial" w:eastAsia="Calibri" w:hAnsi="Arial" w:cs="Arial"/>
          <w:sz w:val="21"/>
          <w:szCs w:val="21"/>
          <w:lang w:eastAsia="en-CA"/>
        </w:rPr>
      </w:pPr>
    </w:p>
    <w:p w:rsidR="008D0A28" w:rsidRPr="008D0A28" w:rsidRDefault="008D0A28" w:rsidP="008D0A28">
      <w:pPr>
        <w:autoSpaceDE w:val="0"/>
        <w:autoSpaceDN w:val="0"/>
        <w:adjustRightInd w:val="0"/>
        <w:rPr>
          <w:rFonts w:ascii="Arial" w:eastAsia="Calibri" w:hAnsi="Arial" w:cs="Arial"/>
          <w:sz w:val="21"/>
          <w:szCs w:val="21"/>
          <w:lang w:eastAsia="en-CA"/>
        </w:rPr>
      </w:pPr>
      <w:r w:rsidRPr="008D0A28">
        <w:rPr>
          <w:rFonts w:ascii="Arial" w:eastAsia="Calibri" w:hAnsi="Arial" w:cs="Arial"/>
          <w:sz w:val="21"/>
          <w:szCs w:val="21"/>
          <w:lang w:eastAsia="en-CA"/>
        </w:rPr>
        <w:t>Each topic area requires that students develop a conceptual knowledge base and skill set that will be useful to whatever pathway they have chosen. Students are encouraged to cross pathways to follow their interests and to keep their options open. The topics covered within a pathway are meant to build upon previous knowledge and to progress from simple to more complex conceptual understandings.</w:t>
      </w:r>
    </w:p>
    <w:p w:rsidR="008D0A28" w:rsidRPr="008D0A28" w:rsidRDefault="008D0A28" w:rsidP="008D0A28">
      <w:pPr>
        <w:pStyle w:val="Heading3"/>
        <w:rPr>
          <w:rFonts w:ascii="Arial" w:eastAsia="Calibri" w:hAnsi="Arial" w:cs="Arial"/>
          <w:b w:val="0"/>
          <w:bCs w:val="0"/>
          <w:i/>
          <w:color w:val="000000"/>
          <w:sz w:val="21"/>
          <w:szCs w:val="21"/>
          <w:lang w:eastAsia="en-CA"/>
        </w:rPr>
      </w:pPr>
      <w:bookmarkStart w:id="2" w:name="_Toc286004716"/>
      <w:bookmarkStart w:id="3" w:name="_Toc308010987"/>
      <w:r w:rsidRPr="008D0A28">
        <w:rPr>
          <w:rFonts w:ascii="Arial" w:eastAsia="Calibri" w:hAnsi="Arial" w:cs="Arial"/>
          <w:b w:val="0"/>
          <w:bCs w:val="0"/>
          <w:i/>
          <w:color w:val="000000"/>
          <w:sz w:val="21"/>
          <w:szCs w:val="21"/>
          <w:lang w:eastAsia="en-CA"/>
        </w:rPr>
        <w:t>Goals of Pathways</w:t>
      </w:r>
      <w:bookmarkEnd w:id="2"/>
      <w:bookmarkEnd w:id="3"/>
    </w:p>
    <w:p w:rsidR="008D0A28" w:rsidRPr="008D0A28" w:rsidRDefault="008D0A28" w:rsidP="008D0A28">
      <w:pPr>
        <w:rPr>
          <w:rFonts w:ascii="Arial" w:eastAsia="Calibri" w:hAnsi="Arial" w:cs="Arial"/>
          <w:sz w:val="21"/>
          <w:szCs w:val="21"/>
          <w:lang w:eastAsia="en-CA"/>
        </w:rPr>
      </w:pPr>
    </w:p>
    <w:p w:rsidR="008D0A28" w:rsidRPr="008D0A28" w:rsidRDefault="008D0A28" w:rsidP="008D0A28">
      <w:pPr>
        <w:autoSpaceDE w:val="0"/>
        <w:autoSpaceDN w:val="0"/>
        <w:adjustRightInd w:val="0"/>
        <w:rPr>
          <w:rFonts w:ascii="Arial" w:eastAsia="Calibri" w:hAnsi="Arial" w:cs="Arial"/>
          <w:b/>
          <w:bCs/>
          <w:sz w:val="21"/>
          <w:szCs w:val="21"/>
          <w:lang w:eastAsia="en-CA"/>
        </w:rPr>
      </w:pPr>
      <w:r w:rsidRPr="008D0A28">
        <w:rPr>
          <w:rFonts w:ascii="Arial" w:eastAsia="Calibri" w:hAnsi="Arial" w:cs="Arial"/>
          <w:sz w:val="21"/>
          <w:szCs w:val="21"/>
          <w:lang w:eastAsia="en-CA"/>
        </w:rPr>
        <w:t>The goals of all three pathways are to provide prerequisite attitudes, knowledge, skills and understandings for specific post-secondary programs or direct entry into the work force. All three pathways provide students with mathematical understandings and critical-thinking skills. It is the choice of topics through which those understandings and skills are developed that varies among pathways. When choosing a pathway, students should consider their interests, both current and future. Students, parents and educators are encouraged to research the admission requirements for post-secondary programs of study as they vary by institution and by year.</w:t>
      </w:r>
      <w:r w:rsidRPr="008D0A28">
        <w:rPr>
          <w:rFonts w:ascii="Arial" w:eastAsia="Calibri" w:hAnsi="Arial" w:cs="Arial"/>
          <w:b/>
          <w:bCs/>
          <w:sz w:val="21"/>
          <w:szCs w:val="21"/>
          <w:lang w:eastAsia="en-CA"/>
        </w:rPr>
        <w:t xml:space="preserve"> </w:t>
      </w:r>
    </w:p>
    <w:p w:rsidR="008D0A28" w:rsidRPr="008D0A28" w:rsidRDefault="008D0A28" w:rsidP="008D0A28">
      <w:pPr>
        <w:pStyle w:val="Heading3"/>
        <w:spacing w:before="240"/>
        <w:rPr>
          <w:rFonts w:ascii="Arial" w:eastAsia="Calibri" w:hAnsi="Arial" w:cs="Arial"/>
          <w:b w:val="0"/>
          <w:bCs w:val="0"/>
          <w:i/>
          <w:color w:val="000000"/>
          <w:sz w:val="21"/>
          <w:szCs w:val="21"/>
          <w:lang w:eastAsia="en-CA"/>
        </w:rPr>
      </w:pPr>
      <w:bookmarkStart w:id="4" w:name="_Toc286004717"/>
      <w:bookmarkStart w:id="5" w:name="_Toc308010988"/>
      <w:r w:rsidRPr="008D0A28">
        <w:rPr>
          <w:rFonts w:ascii="Arial" w:eastAsia="Calibri" w:hAnsi="Arial" w:cs="Arial"/>
          <w:b w:val="0"/>
          <w:bCs w:val="0"/>
          <w:i/>
          <w:color w:val="000000"/>
          <w:sz w:val="21"/>
          <w:szCs w:val="21"/>
          <w:lang w:eastAsia="en-CA"/>
        </w:rPr>
        <w:t>Design of Pathways</w:t>
      </w:r>
      <w:bookmarkEnd w:id="4"/>
      <w:bookmarkEnd w:id="5"/>
    </w:p>
    <w:p w:rsidR="008D0A28" w:rsidRPr="008D0A28" w:rsidRDefault="008D0A28" w:rsidP="008D0A28">
      <w:pPr>
        <w:rPr>
          <w:rFonts w:ascii="Arial" w:eastAsia="Calibri" w:hAnsi="Arial" w:cs="Arial"/>
          <w:sz w:val="21"/>
          <w:szCs w:val="21"/>
          <w:lang w:eastAsia="en-CA"/>
        </w:rPr>
      </w:pPr>
    </w:p>
    <w:p w:rsidR="008D0A28" w:rsidRPr="008D0A28" w:rsidRDefault="008D0A28" w:rsidP="008D0A28">
      <w:pPr>
        <w:autoSpaceDE w:val="0"/>
        <w:autoSpaceDN w:val="0"/>
        <w:adjustRightInd w:val="0"/>
        <w:rPr>
          <w:rFonts w:ascii="Arial" w:eastAsia="Calibri" w:hAnsi="Arial" w:cs="Arial"/>
          <w:sz w:val="21"/>
          <w:szCs w:val="21"/>
          <w:lang w:eastAsia="en-CA"/>
        </w:rPr>
      </w:pPr>
      <w:r w:rsidRPr="008D0A28">
        <w:rPr>
          <w:rFonts w:ascii="Arial" w:eastAsia="Calibri" w:hAnsi="Arial" w:cs="Arial"/>
          <w:sz w:val="21"/>
          <w:szCs w:val="21"/>
          <w:lang w:eastAsia="en-CA"/>
        </w:rPr>
        <w:t>Each pathway is designed to provide students with the mathematical understandings, rigour and critical-thinking skills that have been identified for specific post-secondary programs of study and for direct entry into the work force.</w:t>
      </w:r>
    </w:p>
    <w:p w:rsidR="008D0A28" w:rsidRPr="008D0A28" w:rsidRDefault="008D0A28" w:rsidP="008D0A28">
      <w:pPr>
        <w:autoSpaceDE w:val="0"/>
        <w:autoSpaceDN w:val="0"/>
        <w:adjustRightInd w:val="0"/>
        <w:rPr>
          <w:rFonts w:ascii="Arial" w:eastAsia="Calibri" w:hAnsi="Arial" w:cs="Arial"/>
          <w:sz w:val="21"/>
          <w:szCs w:val="21"/>
          <w:lang w:eastAsia="en-CA"/>
        </w:rPr>
      </w:pPr>
    </w:p>
    <w:p w:rsidR="008D0A28" w:rsidRPr="008D0A28" w:rsidRDefault="008D0A28" w:rsidP="008D0A28">
      <w:pPr>
        <w:autoSpaceDE w:val="0"/>
        <w:autoSpaceDN w:val="0"/>
        <w:adjustRightInd w:val="0"/>
        <w:rPr>
          <w:rFonts w:ascii="Arial" w:eastAsia="Calibri" w:hAnsi="Arial" w:cs="Arial"/>
          <w:sz w:val="21"/>
          <w:szCs w:val="21"/>
          <w:lang w:eastAsia="en-CA"/>
        </w:rPr>
      </w:pPr>
      <w:r w:rsidRPr="008D0A28">
        <w:rPr>
          <w:rFonts w:ascii="Arial" w:eastAsia="Calibri" w:hAnsi="Arial" w:cs="Arial"/>
          <w:sz w:val="21"/>
          <w:szCs w:val="21"/>
          <w:lang w:eastAsia="en-CA"/>
        </w:rPr>
        <w:t xml:space="preserve">The content of each pathway has been based on the </w:t>
      </w:r>
      <w:r w:rsidRPr="008D0A28">
        <w:rPr>
          <w:rFonts w:ascii="Arial" w:eastAsia="Calibri" w:hAnsi="Arial" w:cs="Arial"/>
          <w:i/>
          <w:iCs/>
          <w:sz w:val="21"/>
          <w:szCs w:val="21"/>
          <w:lang w:eastAsia="en-CA"/>
        </w:rPr>
        <w:t xml:space="preserve">Western and Northern Canadian Protocol (WNCP) Consultation with Post-Secondary Institutions, Business and Industry Regarding Their Requirements for High School Mathematics: Final Report on Findings </w:t>
      </w:r>
      <w:r w:rsidRPr="008D0A28">
        <w:rPr>
          <w:rFonts w:ascii="Arial" w:eastAsia="Calibri" w:hAnsi="Arial" w:cs="Arial"/>
          <w:sz w:val="21"/>
          <w:szCs w:val="21"/>
          <w:lang w:eastAsia="en-CA"/>
        </w:rPr>
        <w:t>and on consultations with mathematics teachers.</w:t>
      </w:r>
    </w:p>
    <w:p w:rsidR="008D0A28" w:rsidRPr="008D0A28" w:rsidRDefault="008D0A28" w:rsidP="008D0A28">
      <w:pPr>
        <w:autoSpaceDE w:val="0"/>
        <w:autoSpaceDN w:val="0"/>
        <w:adjustRightInd w:val="0"/>
        <w:rPr>
          <w:rFonts w:ascii="Arial" w:eastAsia="Calibri" w:hAnsi="Arial" w:cs="Arial"/>
          <w:b/>
          <w:bCs/>
          <w:sz w:val="21"/>
          <w:szCs w:val="21"/>
          <w:lang w:eastAsia="en-CA"/>
        </w:rPr>
      </w:pPr>
    </w:p>
    <w:p w:rsidR="008D0A28" w:rsidRPr="008D0A28" w:rsidRDefault="008D0A28" w:rsidP="008D0A28">
      <w:pPr>
        <w:rPr>
          <w:rFonts w:ascii="Arial" w:eastAsia="Calibri" w:hAnsi="Arial" w:cs="Arial"/>
          <w:sz w:val="21"/>
          <w:szCs w:val="21"/>
          <w:u w:val="single"/>
          <w:lang w:eastAsia="en-CA"/>
        </w:rPr>
      </w:pPr>
      <w:r w:rsidRPr="008D0A28">
        <w:rPr>
          <w:rFonts w:ascii="Arial" w:eastAsia="Calibri" w:hAnsi="Arial" w:cs="Arial"/>
          <w:bCs/>
          <w:color w:val="000000"/>
          <w:sz w:val="21"/>
          <w:szCs w:val="21"/>
          <w:u w:val="single"/>
          <w:lang w:eastAsia="en-CA"/>
        </w:rPr>
        <w:t>Financial and Workplace Mathematics</w:t>
      </w:r>
    </w:p>
    <w:p w:rsidR="008D0A28" w:rsidRPr="008D0A28" w:rsidRDefault="008D0A28" w:rsidP="008D0A28">
      <w:pPr>
        <w:autoSpaceDE w:val="0"/>
        <w:autoSpaceDN w:val="0"/>
        <w:adjustRightInd w:val="0"/>
        <w:rPr>
          <w:rFonts w:ascii="Arial" w:eastAsia="Calibri" w:hAnsi="Arial" w:cs="Arial"/>
          <w:sz w:val="21"/>
          <w:szCs w:val="21"/>
          <w:lang w:eastAsia="en-CA"/>
        </w:rPr>
      </w:pPr>
      <w:r w:rsidRPr="008D0A28">
        <w:rPr>
          <w:rFonts w:ascii="Arial" w:eastAsia="Calibri" w:hAnsi="Arial" w:cs="Arial"/>
          <w:sz w:val="21"/>
          <w:szCs w:val="21"/>
          <w:lang w:eastAsia="en-CA"/>
        </w:rPr>
        <w:t xml:space="preserve">This pathway is designed to provide students with the mathematical understandings and critical-thinking skills identified for entry into the majority of trades and for direct entry into the work force. </w:t>
      </w:r>
      <w:r w:rsidRPr="008D0A28">
        <w:rPr>
          <w:rFonts w:ascii="Arial" w:hAnsi="Arial" w:cs="Arial"/>
          <w:sz w:val="21"/>
          <w:szCs w:val="21"/>
          <w:lang w:eastAsia="en-CA"/>
        </w:rPr>
        <w:t>Topics include geometry, financial mathematics, number, algebra, measurement, statistics and probability</w:t>
      </w:r>
      <w:r w:rsidRPr="008D0A28">
        <w:rPr>
          <w:rFonts w:ascii="Arial" w:eastAsia="Calibri" w:hAnsi="Arial" w:cs="Arial"/>
          <w:sz w:val="21"/>
          <w:szCs w:val="21"/>
          <w:lang w:eastAsia="en-CA"/>
        </w:rPr>
        <w:t>.</w:t>
      </w:r>
    </w:p>
    <w:p w:rsidR="008D0A28" w:rsidRPr="008D0A28" w:rsidRDefault="008D0A28" w:rsidP="008D0A28">
      <w:pPr>
        <w:autoSpaceDE w:val="0"/>
        <w:autoSpaceDN w:val="0"/>
        <w:adjustRightInd w:val="0"/>
        <w:rPr>
          <w:rFonts w:ascii="Arial" w:eastAsia="Calibri" w:hAnsi="Arial" w:cs="Arial"/>
          <w:b/>
          <w:bCs/>
          <w:sz w:val="21"/>
          <w:szCs w:val="21"/>
          <w:u w:val="single"/>
          <w:lang w:eastAsia="en-CA"/>
        </w:rPr>
      </w:pPr>
    </w:p>
    <w:p w:rsidR="008D0A28" w:rsidRPr="008D0A28" w:rsidRDefault="008D0A28" w:rsidP="008D0A28">
      <w:pPr>
        <w:rPr>
          <w:rFonts w:ascii="Arial" w:eastAsia="Calibri" w:hAnsi="Arial" w:cs="Arial"/>
          <w:bCs/>
          <w:color w:val="000000"/>
          <w:sz w:val="21"/>
          <w:szCs w:val="21"/>
          <w:u w:val="single"/>
          <w:lang w:eastAsia="en-CA"/>
        </w:rPr>
      </w:pPr>
      <w:r w:rsidRPr="008D0A28">
        <w:rPr>
          <w:rFonts w:ascii="Arial" w:eastAsia="Calibri" w:hAnsi="Arial" w:cs="Arial"/>
          <w:bCs/>
          <w:color w:val="000000"/>
          <w:sz w:val="21"/>
          <w:szCs w:val="21"/>
          <w:u w:val="single"/>
          <w:lang w:eastAsia="en-CA"/>
        </w:rPr>
        <w:t>Foundations of Mathematics</w:t>
      </w:r>
    </w:p>
    <w:p w:rsidR="008D0A28" w:rsidRPr="008D0A28" w:rsidRDefault="008D0A28" w:rsidP="008D0A28">
      <w:pPr>
        <w:autoSpaceDE w:val="0"/>
        <w:autoSpaceDN w:val="0"/>
        <w:adjustRightInd w:val="0"/>
        <w:rPr>
          <w:rFonts w:ascii="Arial" w:eastAsia="Calibri" w:hAnsi="Arial" w:cs="Arial"/>
          <w:sz w:val="21"/>
          <w:szCs w:val="21"/>
          <w:lang w:eastAsia="en-CA"/>
        </w:rPr>
      </w:pPr>
      <w:r w:rsidRPr="008D0A28">
        <w:rPr>
          <w:rFonts w:ascii="Arial" w:eastAsia="Calibri" w:hAnsi="Arial" w:cs="Arial"/>
          <w:sz w:val="21"/>
          <w:szCs w:val="21"/>
          <w:lang w:eastAsia="en-CA"/>
        </w:rPr>
        <w:t xml:space="preserve">This pathway is designed to provide students with the mathematical understandings and critical-thinking skills identified for post-secondary studies in programs that do not require the study of theoretical calculus. </w:t>
      </w:r>
      <w:r w:rsidRPr="008D0A28">
        <w:rPr>
          <w:rFonts w:ascii="Arial" w:hAnsi="Arial" w:cs="Arial"/>
          <w:sz w:val="21"/>
          <w:szCs w:val="21"/>
          <w:lang w:eastAsia="en-CA"/>
        </w:rPr>
        <w:t>Topics include proportional reasoning, logical reasoning, geometry, relations and functions, financial mathematics, statistics, and probability</w:t>
      </w:r>
      <w:r w:rsidRPr="008D0A28">
        <w:rPr>
          <w:rFonts w:ascii="Arial" w:eastAsia="Calibri" w:hAnsi="Arial" w:cs="Arial"/>
          <w:sz w:val="21"/>
          <w:szCs w:val="21"/>
          <w:lang w:eastAsia="en-CA"/>
        </w:rPr>
        <w:t>.</w:t>
      </w:r>
    </w:p>
    <w:p w:rsidR="008D0A28" w:rsidRPr="008D0A28" w:rsidRDefault="008D0A28" w:rsidP="008D0A28">
      <w:pPr>
        <w:autoSpaceDE w:val="0"/>
        <w:autoSpaceDN w:val="0"/>
        <w:adjustRightInd w:val="0"/>
        <w:rPr>
          <w:rFonts w:ascii="Arial" w:eastAsia="Calibri" w:hAnsi="Arial" w:cs="Arial"/>
          <w:b/>
          <w:bCs/>
          <w:sz w:val="21"/>
          <w:szCs w:val="21"/>
          <w:lang w:eastAsia="en-CA"/>
        </w:rPr>
      </w:pPr>
    </w:p>
    <w:p w:rsidR="008D0A28" w:rsidRPr="008D0A28" w:rsidRDefault="008D0A28" w:rsidP="008D0A28">
      <w:pPr>
        <w:rPr>
          <w:rFonts w:ascii="Arial" w:eastAsia="Calibri" w:hAnsi="Arial" w:cs="Arial"/>
          <w:bCs/>
          <w:color w:val="000000"/>
          <w:sz w:val="21"/>
          <w:szCs w:val="21"/>
          <w:u w:val="single"/>
          <w:lang w:eastAsia="en-CA"/>
        </w:rPr>
      </w:pPr>
      <w:r w:rsidRPr="008D0A28">
        <w:rPr>
          <w:rFonts w:ascii="Arial" w:eastAsia="Calibri" w:hAnsi="Arial" w:cs="Arial"/>
          <w:bCs/>
          <w:color w:val="000000"/>
          <w:sz w:val="21"/>
          <w:szCs w:val="21"/>
          <w:u w:val="single"/>
          <w:lang w:eastAsia="en-CA"/>
        </w:rPr>
        <w:t>Pre-calculus</w:t>
      </w:r>
    </w:p>
    <w:p w:rsidR="008D0A28" w:rsidRDefault="008D0A28" w:rsidP="008D0A28">
      <w:pPr>
        <w:autoSpaceDE w:val="0"/>
        <w:autoSpaceDN w:val="0"/>
        <w:adjustRightInd w:val="0"/>
        <w:rPr>
          <w:rFonts w:ascii="Arial" w:hAnsi="Arial" w:cs="Arial"/>
          <w:i/>
        </w:rPr>
      </w:pPr>
      <w:r w:rsidRPr="008D0A28">
        <w:rPr>
          <w:rFonts w:ascii="Arial" w:eastAsia="Calibri" w:hAnsi="Arial" w:cs="Arial"/>
          <w:sz w:val="21"/>
          <w:szCs w:val="21"/>
          <w:lang w:eastAsia="en-CA"/>
        </w:rPr>
        <w:t xml:space="preserve">This pathway is designed to provide students with the mathematical understandings and critical-thinking skills identified for entry into post-secondary programs that require the study of theoretical calculus. </w:t>
      </w:r>
      <w:r w:rsidRPr="008D0A28">
        <w:rPr>
          <w:rFonts w:ascii="Arial" w:hAnsi="Arial" w:cs="Arial"/>
          <w:sz w:val="21"/>
          <w:szCs w:val="21"/>
          <w:lang w:eastAsia="en-CA"/>
        </w:rPr>
        <w:t>Topics include algebra and number, trigonometry, relations and functions, function toolkit, limits and derivatives</w:t>
      </w:r>
      <w:r w:rsidRPr="008D0A28">
        <w:rPr>
          <w:rFonts w:ascii="Arial" w:eastAsia="Calibri" w:hAnsi="Arial" w:cs="Arial"/>
          <w:sz w:val="21"/>
          <w:szCs w:val="21"/>
          <w:lang w:eastAsia="en-CA"/>
        </w:rPr>
        <w:t>.</w:t>
      </w:r>
      <w:r>
        <w:rPr>
          <w:rFonts w:ascii="Arial" w:hAnsi="Arial" w:cs="Arial"/>
          <w:i/>
        </w:rPr>
        <w:br w:type="page"/>
      </w:r>
    </w:p>
    <w:p w:rsidR="008D0A28" w:rsidRPr="00CA7BA1" w:rsidRDefault="008D0A28" w:rsidP="00175872">
      <w:pPr>
        <w:autoSpaceDE w:val="0"/>
        <w:autoSpaceDN w:val="0"/>
        <w:adjustRightInd w:val="0"/>
        <w:rPr>
          <w:rFonts w:ascii="Arial" w:hAnsi="Arial" w:cs="Arial"/>
          <w:sz w:val="12"/>
          <w:szCs w:val="12"/>
        </w:rPr>
      </w:pPr>
      <w:r w:rsidRPr="008121A8">
        <w:rPr>
          <w:rFonts w:ascii="Arial" w:hAnsi="Arial" w:cs="Arial"/>
          <w:i/>
        </w:rPr>
        <w:lastRenderedPageBreak/>
        <w:t>Pathways and Courses</w:t>
      </w:r>
    </w:p>
    <w:p w:rsidR="008D0A28" w:rsidRDefault="008D0A28" w:rsidP="008D0A28">
      <w:pPr>
        <w:jc w:val="both"/>
        <w:rPr>
          <w:rFonts w:ascii="Arial" w:hAnsi="Arial" w:cs="Arial"/>
          <w:sz w:val="22"/>
          <w:szCs w:val="22"/>
        </w:rPr>
      </w:pPr>
      <w:r>
        <w:rPr>
          <w:rFonts w:ascii="Arial" w:hAnsi="Arial" w:cs="Arial"/>
          <w:sz w:val="22"/>
          <w:szCs w:val="22"/>
        </w:rPr>
        <w:t xml:space="preserve">The graphic below summarizes </w:t>
      </w:r>
      <w:r w:rsidR="000A33DA">
        <w:rPr>
          <w:rFonts w:ascii="Arial" w:hAnsi="Arial" w:cs="Arial"/>
          <w:sz w:val="22"/>
          <w:szCs w:val="22"/>
        </w:rPr>
        <w:t xml:space="preserve">courses offered in </w:t>
      </w:r>
      <w:r>
        <w:rPr>
          <w:rFonts w:ascii="Arial" w:hAnsi="Arial" w:cs="Arial"/>
          <w:sz w:val="22"/>
          <w:szCs w:val="22"/>
        </w:rPr>
        <w:t>th</w:t>
      </w:r>
      <w:r w:rsidR="000A33DA">
        <w:rPr>
          <w:rFonts w:ascii="Arial" w:hAnsi="Arial" w:cs="Arial"/>
          <w:sz w:val="22"/>
          <w:szCs w:val="22"/>
        </w:rPr>
        <w:t xml:space="preserve">ree pathways </w:t>
      </w:r>
      <w:r>
        <w:rPr>
          <w:rFonts w:ascii="Arial" w:hAnsi="Arial" w:cs="Arial"/>
          <w:sz w:val="22"/>
          <w:szCs w:val="22"/>
        </w:rPr>
        <w:t xml:space="preserve"> </w:t>
      </w:r>
    </w:p>
    <w:p w:rsidR="00175872" w:rsidRDefault="006B4BFB" w:rsidP="008D0A28">
      <w:pPr>
        <w:jc w:val="both"/>
        <w:rPr>
          <w:rFonts w:ascii="Arial" w:hAnsi="Arial" w:cs="Arial"/>
          <w:sz w:val="22"/>
          <w:szCs w:val="22"/>
        </w:rPr>
      </w:pPr>
      <w:r w:rsidRPr="006B4BFB">
        <w:rPr>
          <w:rFonts w:ascii="Arial" w:hAnsi="Arial" w:cs="Arial"/>
          <w:noProof/>
          <w:sz w:val="22"/>
          <w:szCs w:val="22"/>
          <w:lang w:eastAsia="en-CA"/>
        </w:rPr>
        <w:pict>
          <v:rect id="_x0000_s1053" style="position:absolute;left:0;text-align:left;margin-left:12pt;margin-top:2.95pt;width:15pt;height:7.2pt;z-index:251671040" fillcolor="#fde9d9 [665]"/>
        </w:pict>
      </w:r>
      <w:r w:rsidR="00175872">
        <w:rPr>
          <w:rFonts w:ascii="Arial" w:hAnsi="Arial" w:cs="Arial"/>
          <w:sz w:val="22"/>
          <w:szCs w:val="22"/>
        </w:rPr>
        <w:t xml:space="preserve">  (       </w:t>
      </w:r>
      <w:r w:rsidR="00175872" w:rsidRPr="00175872">
        <w:rPr>
          <w:rFonts w:ascii="Arial" w:hAnsi="Arial" w:cs="Arial"/>
          <w:i/>
          <w:sz w:val="18"/>
          <w:szCs w:val="18"/>
        </w:rPr>
        <w:t>= required for graduation</w:t>
      </w:r>
      <w:r w:rsidR="00175872">
        <w:rPr>
          <w:rFonts w:ascii="Arial" w:hAnsi="Arial" w:cs="Arial"/>
          <w:sz w:val="22"/>
          <w:szCs w:val="22"/>
        </w:rPr>
        <w:t>)</w:t>
      </w:r>
    </w:p>
    <w:p w:rsidR="008D0A28" w:rsidRPr="00A13DAC" w:rsidRDefault="008D0A28" w:rsidP="00175872">
      <w:pPr>
        <w:tabs>
          <w:tab w:val="left" w:pos="2880"/>
        </w:tabs>
        <w:rPr>
          <w:rFonts w:ascii="Arial" w:hAnsi="Arial" w:cs="Arial"/>
          <w:i/>
          <w:sz w:val="16"/>
          <w:szCs w:val="16"/>
          <w:u w:val="single"/>
        </w:rPr>
      </w:pPr>
    </w:p>
    <w:p w:rsidR="008D0A28" w:rsidRDefault="006B4BFB" w:rsidP="008D0A28">
      <w:pPr>
        <w:rPr>
          <w:rFonts w:ascii="Arial" w:hAnsi="Arial" w:cs="Arial"/>
          <w:i/>
          <w:sz w:val="28"/>
          <w:szCs w:val="28"/>
          <w:u w:val="single"/>
        </w:rPr>
      </w:pPr>
      <w:r w:rsidRPr="006B4BFB">
        <w:rPr>
          <w:rFonts w:ascii="Arial" w:hAnsi="Arial" w:cs="Arial"/>
          <w:noProof/>
          <w:sz w:val="22"/>
          <w:szCs w:val="22"/>
          <w:lang w:val="fr-CA" w:eastAsia="fr-CA"/>
        </w:rPr>
        <w:pict>
          <v:shapetype id="_x0000_t202" coordsize="21600,21600" o:spt="202" path="m,l,21600r21600,l21600,xe">
            <v:stroke joinstyle="miter"/>
            <v:path gradientshapeok="t" o:connecttype="rect"/>
          </v:shapetype>
          <v:shape id="_x0000_s1026" type="#_x0000_t202" style="position:absolute;margin-left:170.2pt;margin-top:3.45pt;width:110.25pt;height:30pt;z-index:251650560;mso-width-relative:margin;mso-height-relative:margin" fillcolor="#fde9d9 [665]">
            <v:textbox style="mso-next-textbox:#_x0000_s1026">
              <w:txbxContent>
                <w:p w:rsidR="008D0A28" w:rsidRPr="000D00E1" w:rsidRDefault="008D0A28" w:rsidP="008D0A28">
                  <w:pPr>
                    <w:spacing w:before="120"/>
                    <w:jc w:val="center"/>
                    <w:rPr>
                      <w:rFonts w:ascii="Arial" w:hAnsi="Arial" w:cs="Arial"/>
                      <w:b/>
                      <w:sz w:val="22"/>
                      <w:szCs w:val="22"/>
                    </w:rPr>
                  </w:pPr>
                  <w:r w:rsidRPr="000D00E1">
                    <w:rPr>
                      <w:rFonts w:ascii="Arial" w:hAnsi="Arial" w:cs="Arial"/>
                      <w:b/>
                      <w:sz w:val="22"/>
                      <w:szCs w:val="22"/>
                    </w:rPr>
                    <w:t>Mathematics K-9</w:t>
                  </w:r>
                </w:p>
              </w:txbxContent>
            </v:textbox>
          </v:shape>
        </w:pict>
      </w:r>
    </w:p>
    <w:p w:rsidR="008D0A28" w:rsidRPr="00FD2DE6" w:rsidRDefault="008D0A28" w:rsidP="008D0A28">
      <w:pPr>
        <w:rPr>
          <w:rFonts w:ascii="Arial" w:hAnsi="Arial" w:cs="Arial"/>
          <w:i/>
          <w:sz w:val="16"/>
          <w:szCs w:val="16"/>
          <w:u w:val="single"/>
        </w:rPr>
      </w:pPr>
    </w:p>
    <w:p w:rsidR="008D0A28" w:rsidRDefault="006B4BFB" w:rsidP="008D0A28">
      <w:pPr>
        <w:rPr>
          <w:rFonts w:ascii="Arial" w:hAnsi="Arial" w:cs="Arial"/>
          <w:i/>
          <w:sz w:val="28"/>
          <w:szCs w:val="28"/>
          <w:u w:val="single"/>
        </w:rPr>
      </w:pPr>
      <w:r w:rsidRPr="006B4BFB">
        <w:rPr>
          <w:rFonts w:ascii="Arial" w:hAnsi="Arial" w:cs="Arial"/>
          <w:i/>
          <w:noProof/>
          <w:sz w:val="28"/>
          <w:szCs w:val="28"/>
          <w:u w:val="single"/>
          <w:lang w:val="fr-CA" w:eastAsia="fr-CA"/>
        </w:rPr>
        <w:pict>
          <v:shape id="_x0000_s1027" type="#_x0000_t202" style="position:absolute;margin-left:65.4pt;margin-top:8.15pt;width:316.35pt;height:40.9pt;z-index:251651584;mso-width-relative:margin;mso-height-relative:margin" filled="f">
            <v:stroke dashstyle="dashDot"/>
            <v:textbox style="mso-next-textbox:#_x0000_s1027">
              <w:txbxContent>
                <w:p w:rsidR="008D0A28" w:rsidRPr="00A04D4F" w:rsidRDefault="008D0A28" w:rsidP="00CA7BA1">
                  <w:pPr>
                    <w:jc w:val="center"/>
                    <w:rPr>
                      <w:rFonts w:ascii="Arial" w:hAnsi="Arial" w:cs="Arial"/>
                      <w:b/>
                      <w:i/>
                      <w:sz w:val="18"/>
                      <w:szCs w:val="18"/>
                      <w:u w:val="single"/>
                    </w:rPr>
                  </w:pPr>
                  <w:r w:rsidRPr="00A04D4F">
                    <w:rPr>
                      <w:rFonts w:ascii="Arial" w:hAnsi="Arial" w:cs="Arial"/>
                      <w:b/>
                      <w:i/>
                      <w:sz w:val="18"/>
                      <w:szCs w:val="18"/>
                      <w:u w:val="single"/>
                    </w:rPr>
                    <w:t>Grade 10</w:t>
                  </w:r>
                </w:p>
                <w:p w:rsidR="008D0A28" w:rsidRPr="00B376D8" w:rsidRDefault="008D0A28" w:rsidP="00CA7BA1">
                  <w:pPr>
                    <w:pStyle w:val="ListParagraph"/>
                    <w:numPr>
                      <w:ilvl w:val="0"/>
                      <w:numId w:val="2"/>
                    </w:numPr>
                    <w:spacing w:after="0" w:line="240" w:lineRule="auto"/>
                    <w:ind w:left="142" w:hanging="142"/>
                    <w:contextualSpacing w:val="0"/>
                    <w:jc w:val="center"/>
                    <w:rPr>
                      <w:rFonts w:ascii="Arial" w:hAnsi="Arial" w:cs="Arial"/>
                      <w:i/>
                      <w:sz w:val="18"/>
                      <w:szCs w:val="18"/>
                    </w:rPr>
                  </w:pPr>
                  <w:r>
                    <w:rPr>
                      <w:rFonts w:ascii="Arial" w:hAnsi="Arial" w:cs="Arial"/>
                      <w:i/>
                      <w:sz w:val="18"/>
                      <w:szCs w:val="18"/>
                    </w:rPr>
                    <w:t>2 x 90 hr courses; r</w:t>
                  </w:r>
                  <w:r w:rsidRPr="00AB2898">
                    <w:rPr>
                      <w:rFonts w:ascii="Arial" w:hAnsi="Arial" w:cs="Arial"/>
                      <w:i/>
                      <w:sz w:val="18"/>
                      <w:szCs w:val="18"/>
                    </w:rPr>
                    <w:t>equired to pass</w:t>
                  </w:r>
                  <w:r>
                    <w:rPr>
                      <w:rFonts w:ascii="Arial" w:hAnsi="Arial" w:cs="Arial"/>
                      <w:i/>
                      <w:sz w:val="18"/>
                      <w:szCs w:val="18"/>
                    </w:rPr>
                    <w:t xml:space="preserve"> </w:t>
                  </w:r>
                  <w:r w:rsidRPr="00047D6D">
                    <w:rPr>
                      <w:rFonts w:ascii="Arial" w:hAnsi="Arial" w:cs="Arial"/>
                      <w:i/>
                      <w:sz w:val="18"/>
                      <w:szCs w:val="18"/>
                      <w:u w:val="single"/>
                    </w:rPr>
                    <w:t>both</w:t>
                  </w:r>
                </w:p>
                <w:p w:rsidR="008D0A28" w:rsidRPr="00AB2898" w:rsidRDefault="008D0A28" w:rsidP="00CA7BA1">
                  <w:pPr>
                    <w:pStyle w:val="ListParagraph"/>
                    <w:numPr>
                      <w:ilvl w:val="0"/>
                      <w:numId w:val="2"/>
                    </w:numPr>
                    <w:spacing w:after="0" w:line="240" w:lineRule="auto"/>
                    <w:ind w:left="142" w:hanging="142"/>
                    <w:contextualSpacing w:val="0"/>
                    <w:jc w:val="center"/>
                    <w:rPr>
                      <w:rFonts w:ascii="Arial" w:hAnsi="Arial" w:cs="Arial"/>
                      <w:i/>
                      <w:sz w:val="18"/>
                      <w:szCs w:val="18"/>
                    </w:rPr>
                  </w:pPr>
                  <w:r w:rsidRPr="00AB2898">
                    <w:rPr>
                      <w:rFonts w:ascii="Arial" w:hAnsi="Arial" w:cs="Arial"/>
                      <w:i/>
                      <w:sz w:val="18"/>
                      <w:szCs w:val="18"/>
                    </w:rPr>
                    <w:t xml:space="preserve">May be taken in any order or </w:t>
                  </w:r>
                  <w:r>
                    <w:rPr>
                      <w:rFonts w:ascii="Arial" w:hAnsi="Arial" w:cs="Arial"/>
                      <w:i/>
                      <w:sz w:val="18"/>
                      <w:szCs w:val="18"/>
                    </w:rPr>
                    <w:t>in the same semester</w:t>
                  </w:r>
                </w:p>
                <w:p w:rsidR="008D0A28" w:rsidRDefault="008D0A28" w:rsidP="008D0A28"/>
              </w:txbxContent>
            </v:textbox>
          </v:shape>
        </w:pict>
      </w:r>
    </w:p>
    <w:p w:rsidR="008D0A28" w:rsidRDefault="008D0A28" w:rsidP="008D0A28">
      <w:pPr>
        <w:rPr>
          <w:rFonts w:ascii="Arial" w:hAnsi="Arial" w:cs="Arial"/>
          <w:i/>
          <w:sz w:val="28"/>
          <w:szCs w:val="28"/>
          <w:u w:val="single"/>
        </w:rPr>
      </w:pPr>
    </w:p>
    <w:p w:rsidR="008D0A28" w:rsidRPr="00777590" w:rsidRDefault="008D0A28" w:rsidP="008D0A28">
      <w:pPr>
        <w:rPr>
          <w:rFonts w:ascii="Arial" w:hAnsi="Arial" w:cs="Arial"/>
          <w:i/>
          <w:sz w:val="28"/>
          <w:szCs w:val="28"/>
          <w:u w:val="single"/>
        </w:rPr>
      </w:pPr>
    </w:p>
    <w:p w:rsidR="008D0A28" w:rsidRDefault="006B4BFB" w:rsidP="008D0A28">
      <w:pPr>
        <w:jc w:val="both"/>
        <w:rPr>
          <w:rFonts w:ascii="Arial" w:hAnsi="Arial" w:cs="Arial"/>
          <w:sz w:val="22"/>
          <w:szCs w:val="22"/>
        </w:rPr>
      </w:pPr>
      <w:r w:rsidRPr="006B4BFB">
        <w:rPr>
          <w:rFonts w:ascii="Arial" w:hAnsi="Arial" w:cs="Arial"/>
          <w:noProof/>
          <w:sz w:val="22"/>
          <w:szCs w:val="22"/>
          <w:lang w:val="fr-CA" w:eastAsia="fr-CA"/>
        </w:rPr>
        <w:pict>
          <v:shape id="_x0000_s1029" type="#_x0000_t202" style="position:absolute;left:0;text-align:left;margin-left:231pt;margin-top:.75pt;width:150.75pt;height:34.1pt;z-index:251653632;mso-width-relative:margin;mso-height-relative:margin" fillcolor="#fde9d9">
            <v:textbox style="mso-next-textbox:#_x0000_s1029">
              <w:txbxContent>
                <w:p w:rsidR="008D0A28" w:rsidRPr="00047D6D" w:rsidRDefault="008D0A28" w:rsidP="008D0A28">
                  <w:pPr>
                    <w:jc w:val="center"/>
                    <w:rPr>
                      <w:rFonts w:ascii="Arial" w:hAnsi="Arial" w:cs="Arial"/>
                      <w:sz w:val="20"/>
                      <w:szCs w:val="20"/>
                    </w:rPr>
                  </w:pPr>
                  <w:r w:rsidRPr="000D00E1">
                    <w:rPr>
                      <w:rFonts w:ascii="Arial" w:hAnsi="Arial" w:cs="Arial"/>
                      <w:b/>
                      <w:sz w:val="20"/>
                      <w:szCs w:val="20"/>
                    </w:rPr>
                    <w:t>Number, Relations and Functions 10</w:t>
                  </w:r>
                  <w:r w:rsidRPr="00047D6D">
                    <w:rPr>
                      <w:rFonts w:ascii="Arial" w:hAnsi="Arial" w:cs="Arial"/>
                      <w:sz w:val="20"/>
                      <w:szCs w:val="20"/>
                    </w:rPr>
                    <w:t xml:space="preserve"> (1069527)</w:t>
                  </w:r>
                </w:p>
              </w:txbxContent>
            </v:textbox>
          </v:shape>
        </w:pict>
      </w:r>
      <w:r w:rsidRPr="006B4BFB">
        <w:rPr>
          <w:rFonts w:ascii="Arial" w:hAnsi="Arial" w:cs="Arial"/>
          <w:noProof/>
          <w:sz w:val="22"/>
          <w:szCs w:val="22"/>
          <w:lang w:val="fr-CA" w:eastAsia="fr-CA"/>
        </w:rPr>
        <w:pict>
          <v:shape id="_x0000_s1028" type="#_x0000_t202" style="position:absolute;left:0;text-align:left;margin-left:65.4pt;margin-top:.75pt;width:150.75pt;height:34.1pt;z-index:251652608;mso-width-relative:margin;mso-height-relative:margin" fillcolor="#fde9d9">
            <v:textbox style="mso-next-textbox:#_x0000_s1028">
              <w:txbxContent>
                <w:p w:rsidR="008D0A28" w:rsidRPr="000D00E1" w:rsidRDefault="008D0A28" w:rsidP="008D0A28">
                  <w:pPr>
                    <w:jc w:val="center"/>
                    <w:rPr>
                      <w:rFonts w:ascii="Arial" w:hAnsi="Arial" w:cs="Arial"/>
                      <w:b/>
                      <w:sz w:val="20"/>
                      <w:szCs w:val="20"/>
                    </w:rPr>
                  </w:pPr>
                  <w:r w:rsidRPr="000D00E1">
                    <w:rPr>
                      <w:rFonts w:ascii="Arial" w:hAnsi="Arial" w:cs="Arial"/>
                      <w:b/>
                      <w:sz w:val="20"/>
                      <w:szCs w:val="20"/>
                    </w:rPr>
                    <w:t>Geometry, Measurement</w:t>
                  </w:r>
                </w:p>
                <w:p w:rsidR="008D0A28" w:rsidRPr="00047D6D" w:rsidRDefault="008D0A28" w:rsidP="008D0A28">
                  <w:pPr>
                    <w:jc w:val="center"/>
                    <w:rPr>
                      <w:rFonts w:ascii="Arial" w:hAnsi="Arial" w:cs="Arial"/>
                      <w:sz w:val="20"/>
                      <w:szCs w:val="20"/>
                    </w:rPr>
                  </w:pPr>
                  <w:r w:rsidRPr="000D00E1">
                    <w:rPr>
                      <w:rFonts w:ascii="Arial" w:hAnsi="Arial" w:cs="Arial"/>
                      <w:b/>
                      <w:sz w:val="20"/>
                      <w:szCs w:val="20"/>
                    </w:rPr>
                    <w:t>and Finance 10</w:t>
                  </w:r>
                  <w:r w:rsidRPr="00047D6D">
                    <w:rPr>
                      <w:rFonts w:ascii="Arial" w:hAnsi="Arial" w:cs="Arial"/>
                      <w:sz w:val="20"/>
                      <w:szCs w:val="20"/>
                    </w:rPr>
                    <w:t xml:space="preserve"> (1069027)</w:t>
                  </w:r>
                </w:p>
              </w:txbxContent>
            </v:textbox>
          </v:shape>
        </w:pict>
      </w:r>
    </w:p>
    <w:p w:rsidR="008D0A28" w:rsidRDefault="008D0A28" w:rsidP="008D0A28">
      <w:pPr>
        <w:jc w:val="both"/>
        <w:rPr>
          <w:rFonts w:ascii="Arial" w:hAnsi="Arial" w:cs="Arial"/>
          <w:sz w:val="22"/>
          <w:szCs w:val="22"/>
        </w:rPr>
      </w:pPr>
    </w:p>
    <w:p w:rsidR="008D0A28" w:rsidRDefault="008D0A28" w:rsidP="008D0A28">
      <w:pPr>
        <w:jc w:val="both"/>
        <w:rPr>
          <w:rFonts w:ascii="Arial" w:hAnsi="Arial" w:cs="Arial"/>
          <w:sz w:val="22"/>
          <w:szCs w:val="22"/>
        </w:rPr>
      </w:pPr>
    </w:p>
    <w:p w:rsidR="008D0A28" w:rsidRPr="00FD2DE6" w:rsidRDefault="006B4BFB" w:rsidP="008D0A28">
      <w:pPr>
        <w:jc w:val="both"/>
        <w:rPr>
          <w:rFonts w:ascii="Arial" w:hAnsi="Arial" w:cs="Arial"/>
          <w:sz w:val="16"/>
          <w:szCs w:val="16"/>
        </w:rPr>
      </w:pPr>
      <w:r w:rsidRPr="006B4BFB">
        <w:rPr>
          <w:rFonts w:ascii="Arial" w:hAnsi="Arial" w:cs="Arial"/>
          <w:noProof/>
          <w:sz w:val="22"/>
          <w:szCs w:val="22"/>
          <w:lang w:val="fr-CA" w:eastAsia="fr-CA"/>
        </w:rPr>
        <w:pict>
          <v:shape id="_x0000_s1030" type="#_x0000_t202" style="position:absolute;left:0;text-align:left;margin-left:-11.85pt;margin-top:7.75pt;width:466.45pt;height:61.35pt;z-index:251654656;mso-width-relative:margin;mso-height-relative:margin" filled="f">
            <v:stroke dashstyle="dashDot"/>
            <v:textbox style="mso-next-textbox:#_x0000_s1030">
              <w:txbxContent>
                <w:p w:rsidR="008D0A28" w:rsidRPr="00A04D4F" w:rsidRDefault="008D0A28" w:rsidP="00CA7BA1">
                  <w:pPr>
                    <w:jc w:val="center"/>
                    <w:rPr>
                      <w:rFonts w:ascii="Arial" w:hAnsi="Arial" w:cs="Arial"/>
                      <w:b/>
                      <w:i/>
                      <w:sz w:val="18"/>
                      <w:szCs w:val="18"/>
                      <w:u w:val="single"/>
                    </w:rPr>
                  </w:pPr>
                  <w:r>
                    <w:rPr>
                      <w:rFonts w:ascii="Arial" w:hAnsi="Arial" w:cs="Arial"/>
                      <w:b/>
                      <w:i/>
                      <w:sz w:val="18"/>
                      <w:szCs w:val="18"/>
                      <w:u w:val="single"/>
                    </w:rPr>
                    <w:t>Grade 11</w:t>
                  </w:r>
                </w:p>
                <w:p w:rsidR="008D0A28" w:rsidRDefault="008D0A28" w:rsidP="00CA7BA1">
                  <w:pPr>
                    <w:pStyle w:val="ListParagraph"/>
                    <w:numPr>
                      <w:ilvl w:val="0"/>
                      <w:numId w:val="2"/>
                    </w:numPr>
                    <w:spacing w:after="0" w:line="240" w:lineRule="auto"/>
                    <w:ind w:left="142" w:hanging="142"/>
                    <w:contextualSpacing w:val="0"/>
                    <w:jc w:val="center"/>
                    <w:rPr>
                      <w:rFonts w:ascii="Arial" w:hAnsi="Arial" w:cs="Arial"/>
                      <w:i/>
                      <w:sz w:val="18"/>
                      <w:szCs w:val="18"/>
                    </w:rPr>
                  </w:pPr>
                  <w:r>
                    <w:rPr>
                      <w:rFonts w:ascii="Arial" w:hAnsi="Arial" w:cs="Arial"/>
                      <w:i/>
                      <w:sz w:val="18"/>
                      <w:szCs w:val="18"/>
                    </w:rPr>
                    <w:t>3 x 90 hr courses offered in 3 pathways</w:t>
                  </w:r>
                </w:p>
                <w:p w:rsidR="008D0A28" w:rsidRDefault="008D0A28" w:rsidP="00CA7BA1">
                  <w:pPr>
                    <w:pStyle w:val="ListParagraph"/>
                    <w:numPr>
                      <w:ilvl w:val="1"/>
                      <w:numId w:val="2"/>
                    </w:numPr>
                    <w:spacing w:after="0" w:line="240" w:lineRule="auto"/>
                    <w:contextualSpacing w:val="0"/>
                    <w:jc w:val="center"/>
                    <w:rPr>
                      <w:rFonts w:ascii="Arial" w:hAnsi="Arial" w:cs="Arial"/>
                      <w:i/>
                      <w:sz w:val="18"/>
                      <w:szCs w:val="18"/>
                    </w:rPr>
                  </w:pPr>
                  <w:r>
                    <w:rPr>
                      <w:rFonts w:ascii="Arial" w:hAnsi="Arial" w:cs="Arial"/>
                      <w:i/>
                      <w:sz w:val="18"/>
                      <w:szCs w:val="18"/>
                    </w:rPr>
                    <w:t>Students are r</w:t>
                  </w:r>
                  <w:r w:rsidRPr="00AB2898">
                    <w:rPr>
                      <w:rFonts w:ascii="Arial" w:hAnsi="Arial" w:cs="Arial"/>
                      <w:i/>
                      <w:sz w:val="18"/>
                      <w:szCs w:val="18"/>
                    </w:rPr>
                    <w:t xml:space="preserve">equired to </w:t>
                  </w:r>
                  <w:r>
                    <w:rPr>
                      <w:rFonts w:ascii="Arial" w:hAnsi="Arial" w:cs="Arial"/>
                      <w:i/>
                      <w:sz w:val="18"/>
                      <w:szCs w:val="18"/>
                    </w:rPr>
                    <w:t xml:space="preserve">pass at least one of “Financial and Workplace Mathematics 11” </w:t>
                  </w:r>
                </w:p>
                <w:p w:rsidR="008D0A28" w:rsidRPr="00A827C6" w:rsidRDefault="008D0A28" w:rsidP="00CA7BA1">
                  <w:pPr>
                    <w:pStyle w:val="ListParagraph"/>
                    <w:spacing w:after="0" w:line="240" w:lineRule="auto"/>
                    <w:ind w:left="1440"/>
                    <w:contextualSpacing w:val="0"/>
                    <w:jc w:val="center"/>
                    <w:rPr>
                      <w:rFonts w:ascii="Arial" w:hAnsi="Arial" w:cs="Arial"/>
                      <w:i/>
                      <w:sz w:val="18"/>
                      <w:szCs w:val="18"/>
                    </w:rPr>
                  </w:pPr>
                  <w:r w:rsidRPr="00F50D10">
                    <w:rPr>
                      <w:rFonts w:ascii="Arial" w:hAnsi="Arial" w:cs="Arial"/>
                      <w:b/>
                      <w:i/>
                      <w:sz w:val="18"/>
                      <w:szCs w:val="18"/>
                    </w:rPr>
                    <w:t>or</w:t>
                  </w:r>
                  <w:r>
                    <w:rPr>
                      <w:rFonts w:ascii="Arial" w:hAnsi="Arial" w:cs="Arial"/>
                      <w:i/>
                      <w:sz w:val="18"/>
                      <w:szCs w:val="18"/>
                    </w:rPr>
                    <w:t xml:space="preserve"> “Foundations of Mathematics 11”.  </w:t>
                  </w:r>
                </w:p>
                <w:p w:rsidR="008D0A28" w:rsidRDefault="008D0A28" w:rsidP="00CA7BA1">
                  <w:pPr>
                    <w:pStyle w:val="ListParagraph"/>
                    <w:numPr>
                      <w:ilvl w:val="0"/>
                      <w:numId w:val="3"/>
                    </w:numPr>
                    <w:spacing w:after="0" w:line="240" w:lineRule="auto"/>
                    <w:contextualSpacing w:val="0"/>
                    <w:jc w:val="center"/>
                    <w:rPr>
                      <w:rFonts w:ascii="Arial" w:hAnsi="Arial" w:cs="Arial"/>
                      <w:i/>
                      <w:sz w:val="18"/>
                      <w:szCs w:val="18"/>
                    </w:rPr>
                  </w:pPr>
                  <w:r>
                    <w:rPr>
                      <w:rFonts w:ascii="Arial" w:hAnsi="Arial" w:cs="Arial"/>
                      <w:i/>
                      <w:sz w:val="18"/>
                      <w:szCs w:val="18"/>
                    </w:rPr>
                    <w:t>Pre-requisite Grade 10 course(s) must be passed before taking Grade 11 courses.</w:t>
                  </w:r>
                </w:p>
                <w:p w:rsidR="008D0A28" w:rsidRDefault="008D0A28" w:rsidP="008D0A28"/>
              </w:txbxContent>
            </v:textbox>
          </v:shape>
        </w:pict>
      </w:r>
    </w:p>
    <w:p w:rsidR="008D0A28" w:rsidRDefault="008D0A28" w:rsidP="008D0A28">
      <w:pPr>
        <w:jc w:val="both"/>
        <w:rPr>
          <w:rFonts w:ascii="Arial" w:hAnsi="Arial" w:cs="Arial"/>
          <w:sz w:val="22"/>
          <w:szCs w:val="22"/>
        </w:rPr>
      </w:pPr>
    </w:p>
    <w:p w:rsidR="008D0A28" w:rsidRDefault="008D0A28" w:rsidP="008D0A28">
      <w:pPr>
        <w:jc w:val="both"/>
        <w:rPr>
          <w:rFonts w:ascii="Arial" w:hAnsi="Arial" w:cs="Arial"/>
          <w:sz w:val="22"/>
          <w:szCs w:val="22"/>
        </w:rPr>
      </w:pPr>
    </w:p>
    <w:p w:rsidR="008D0A28" w:rsidRDefault="008D0A28" w:rsidP="008D0A28">
      <w:pPr>
        <w:jc w:val="both"/>
        <w:rPr>
          <w:rFonts w:ascii="Arial" w:hAnsi="Arial" w:cs="Arial"/>
          <w:sz w:val="22"/>
          <w:szCs w:val="22"/>
        </w:rPr>
      </w:pPr>
    </w:p>
    <w:p w:rsidR="008D0A28" w:rsidRDefault="008D0A28" w:rsidP="008D0A28">
      <w:pPr>
        <w:jc w:val="both"/>
        <w:rPr>
          <w:rFonts w:ascii="Arial" w:hAnsi="Arial" w:cs="Arial"/>
          <w:sz w:val="22"/>
          <w:szCs w:val="22"/>
        </w:rPr>
      </w:pPr>
    </w:p>
    <w:p w:rsidR="008D0A28" w:rsidRDefault="006B4BFB" w:rsidP="008D0A28">
      <w:pPr>
        <w:jc w:val="both"/>
        <w:rPr>
          <w:rFonts w:ascii="Arial" w:hAnsi="Arial" w:cs="Arial"/>
          <w:sz w:val="22"/>
          <w:szCs w:val="22"/>
        </w:rPr>
      </w:pPr>
      <w:r w:rsidRPr="006B4BFB">
        <w:rPr>
          <w:rFonts w:ascii="Arial" w:hAnsi="Arial" w:cs="Arial"/>
          <w:noProof/>
          <w:sz w:val="22"/>
          <w:szCs w:val="22"/>
          <w:lang w:eastAsia="en-CA"/>
        </w:rPr>
        <w:pict>
          <v:shape id="_x0000_s1036" type="#_x0000_t202" style="position:absolute;left:0;text-align:left;margin-left:306.5pt;margin-top:9.05pt;width:148.1pt;height:33pt;z-index:251660800;mso-width-relative:margin;mso-height-relative:margin" fillcolor="#acc8ea">
            <v:textbox style="mso-next-textbox:#_x0000_s1036">
              <w:txbxContent>
                <w:p w:rsidR="008D0A28" w:rsidRPr="000D00E1" w:rsidRDefault="008D0A28" w:rsidP="008D0A28">
                  <w:pPr>
                    <w:jc w:val="center"/>
                    <w:rPr>
                      <w:rFonts w:ascii="Arial" w:hAnsi="Arial" w:cs="Arial"/>
                      <w:b/>
                      <w:sz w:val="20"/>
                      <w:szCs w:val="20"/>
                    </w:rPr>
                  </w:pPr>
                  <w:r w:rsidRPr="000D00E1">
                    <w:rPr>
                      <w:rFonts w:ascii="Arial" w:hAnsi="Arial" w:cs="Arial"/>
                      <w:b/>
                      <w:sz w:val="20"/>
                      <w:szCs w:val="20"/>
                    </w:rPr>
                    <w:t>Pre-Calculus 11</w:t>
                  </w:r>
                </w:p>
                <w:p w:rsidR="008D0A28" w:rsidRPr="000D00E1" w:rsidRDefault="008D0A28" w:rsidP="008D0A28">
                  <w:pPr>
                    <w:jc w:val="center"/>
                    <w:rPr>
                      <w:rFonts w:ascii="Arial" w:hAnsi="Arial" w:cs="Arial"/>
                      <w:sz w:val="20"/>
                      <w:szCs w:val="20"/>
                    </w:rPr>
                  </w:pPr>
                </w:p>
                <w:p w:rsidR="008D0A28" w:rsidRPr="00C37A01" w:rsidRDefault="008D0A28" w:rsidP="008D0A28"/>
              </w:txbxContent>
            </v:textbox>
          </v:shape>
        </w:pict>
      </w:r>
      <w:r w:rsidRPr="006B4BFB">
        <w:rPr>
          <w:rFonts w:ascii="Arial" w:hAnsi="Arial" w:cs="Arial"/>
          <w:noProof/>
          <w:sz w:val="22"/>
          <w:szCs w:val="22"/>
          <w:lang w:eastAsia="en-CA"/>
        </w:rPr>
        <w:pict>
          <v:shape id="_x0000_s1034" type="#_x0000_t202" style="position:absolute;left:0;text-align:left;margin-left:155.7pt;margin-top:9.05pt;width:141pt;height:31.9pt;z-index:251672064;mso-width-relative:margin;mso-height-relative:margin" o:regroupid="2" fillcolor="#fde9d9 [665]">
            <v:textbox style="mso-next-textbox:#_x0000_s1034">
              <w:txbxContent>
                <w:p w:rsidR="008D0A28" w:rsidRPr="000D00E1" w:rsidRDefault="008D0A28" w:rsidP="008D0A28">
                  <w:pPr>
                    <w:jc w:val="center"/>
                    <w:rPr>
                      <w:rFonts w:ascii="Arial" w:hAnsi="Arial" w:cs="Arial"/>
                      <w:b/>
                      <w:sz w:val="20"/>
                      <w:szCs w:val="20"/>
                    </w:rPr>
                  </w:pPr>
                  <w:r>
                    <w:rPr>
                      <w:rFonts w:ascii="Arial" w:hAnsi="Arial" w:cs="Arial"/>
                      <w:b/>
                      <w:sz w:val="20"/>
                      <w:szCs w:val="20"/>
                    </w:rPr>
                    <w:t>Foundations of Mathematics</w:t>
                  </w:r>
                  <w:r w:rsidRPr="000D00E1">
                    <w:rPr>
                      <w:rFonts w:ascii="Arial" w:hAnsi="Arial" w:cs="Arial"/>
                      <w:b/>
                      <w:sz w:val="20"/>
                      <w:szCs w:val="20"/>
                    </w:rPr>
                    <w:t xml:space="preserve"> 11</w:t>
                  </w:r>
                </w:p>
                <w:p w:rsidR="008D0A28" w:rsidRPr="000D00E1" w:rsidRDefault="008D0A28" w:rsidP="008D0A28">
                  <w:pPr>
                    <w:jc w:val="center"/>
                    <w:rPr>
                      <w:rFonts w:ascii="Arial" w:hAnsi="Arial" w:cs="Arial"/>
                      <w:sz w:val="20"/>
                      <w:szCs w:val="20"/>
                    </w:rPr>
                  </w:pPr>
                </w:p>
                <w:p w:rsidR="008D0A28" w:rsidRPr="00C37A01" w:rsidRDefault="008D0A28" w:rsidP="008D0A28"/>
              </w:txbxContent>
            </v:textbox>
          </v:shape>
        </w:pict>
      </w:r>
      <w:r w:rsidRPr="006B4BFB">
        <w:rPr>
          <w:rFonts w:ascii="Arial" w:hAnsi="Arial" w:cs="Arial"/>
          <w:noProof/>
          <w:sz w:val="22"/>
          <w:szCs w:val="22"/>
          <w:lang w:eastAsia="en-CA"/>
        </w:rPr>
        <w:pict>
          <v:shape id="_x0000_s1033" type="#_x0000_t202" style="position:absolute;left:0;text-align:left;margin-left:-11.85pt;margin-top:9.3pt;width:141pt;height:32.25pt;z-index:251666944;mso-width-relative:margin;mso-height-relative:margin" o:regroupid="1" fillcolor="#fde9d9 [665]">
            <v:textbox style="mso-next-textbox:#_x0000_s1033">
              <w:txbxContent>
                <w:p w:rsidR="008D0A28" w:rsidRPr="000D00E1" w:rsidRDefault="008D0A28" w:rsidP="008D0A28">
                  <w:pPr>
                    <w:jc w:val="center"/>
                    <w:rPr>
                      <w:rFonts w:ascii="Arial" w:hAnsi="Arial" w:cs="Arial"/>
                      <w:b/>
                      <w:sz w:val="20"/>
                      <w:szCs w:val="20"/>
                    </w:rPr>
                  </w:pPr>
                  <w:r w:rsidRPr="000D00E1">
                    <w:rPr>
                      <w:rFonts w:ascii="Arial" w:hAnsi="Arial" w:cs="Arial"/>
                      <w:b/>
                      <w:sz w:val="20"/>
                      <w:szCs w:val="20"/>
                    </w:rPr>
                    <w:t>Financial and Workplace Mathematics 11</w:t>
                  </w:r>
                </w:p>
                <w:p w:rsidR="008D0A28" w:rsidRPr="00047D6D" w:rsidRDefault="008D0A28" w:rsidP="008D0A28">
                  <w:pPr>
                    <w:jc w:val="center"/>
                    <w:rPr>
                      <w:rFonts w:ascii="Arial" w:hAnsi="Arial" w:cs="Arial"/>
                      <w:sz w:val="20"/>
                      <w:szCs w:val="20"/>
                    </w:rPr>
                  </w:pPr>
                </w:p>
                <w:p w:rsidR="008D0A28" w:rsidRPr="00C37A01" w:rsidRDefault="008D0A28" w:rsidP="008D0A28"/>
              </w:txbxContent>
            </v:textbox>
          </v:shape>
        </w:pict>
      </w:r>
    </w:p>
    <w:p w:rsidR="008D0A28" w:rsidRPr="00FD2DE6" w:rsidRDefault="008D0A28" w:rsidP="008D0A28">
      <w:pPr>
        <w:jc w:val="both"/>
        <w:rPr>
          <w:rFonts w:ascii="Arial" w:hAnsi="Arial" w:cs="Arial"/>
          <w:sz w:val="16"/>
          <w:szCs w:val="16"/>
        </w:rPr>
      </w:pPr>
    </w:p>
    <w:p w:rsidR="008D0A28" w:rsidRDefault="008D0A28" w:rsidP="008D0A28">
      <w:pPr>
        <w:jc w:val="both"/>
        <w:rPr>
          <w:rFonts w:ascii="Arial" w:hAnsi="Arial" w:cs="Arial"/>
          <w:sz w:val="22"/>
          <w:szCs w:val="22"/>
        </w:rPr>
      </w:pPr>
    </w:p>
    <w:p w:rsidR="008D0A28" w:rsidRDefault="006B4BFB" w:rsidP="008D0A28">
      <w:pPr>
        <w:jc w:val="both"/>
        <w:rPr>
          <w:rFonts w:ascii="Arial" w:hAnsi="Arial" w:cs="Arial"/>
          <w:sz w:val="22"/>
          <w:szCs w:val="22"/>
        </w:rPr>
      </w:pPr>
      <w:r w:rsidRPr="006B4BFB">
        <w:rPr>
          <w:rFonts w:ascii="Arial" w:hAnsi="Arial" w:cs="Arial"/>
          <w:noProof/>
          <w:sz w:val="22"/>
          <w:szCs w:val="22"/>
          <w:lang w:eastAsia="en-CA"/>
        </w:rPr>
        <w:pict>
          <v:shape id="_x0000_s1035" type="#_x0000_t202" style="position:absolute;left:0;text-align:left;margin-left:155.7pt;margin-top:7.05pt;width:141pt;height:59.55pt;z-index:251673088;mso-width-relative:margin;mso-height-relative:margin" o:regroupid="2" fillcolor="#fde9d9 [665]" strokeweight="1pt">
            <v:stroke dashstyle="1 1"/>
            <v:textbox style="mso-next-textbox:#_x0000_s1035">
              <w:txbxContent>
                <w:p w:rsidR="008D0A28" w:rsidRDefault="008D0A28" w:rsidP="008D0A28">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s</w:t>
                  </w:r>
                  <w:r w:rsidRPr="007304F1">
                    <w:rPr>
                      <w:rFonts w:ascii="Arial" w:hAnsi="Arial" w:cs="Arial"/>
                      <w:i/>
                      <w:sz w:val="18"/>
                      <w:szCs w:val="18"/>
                    </w:rPr>
                    <w:t xml:space="preserve">: </w:t>
                  </w:r>
                  <w:r>
                    <w:rPr>
                      <w:rFonts w:ascii="Arial" w:hAnsi="Arial" w:cs="Arial"/>
                      <w:i/>
                      <w:sz w:val="18"/>
                      <w:szCs w:val="18"/>
                    </w:rPr>
                    <w:t xml:space="preserve"> </w:t>
                  </w:r>
                </w:p>
                <w:p w:rsidR="008D0A28" w:rsidRDefault="008D0A28" w:rsidP="008D0A28">
                  <w:pPr>
                    <w:rPr>
                      <w:rFonts w:ascii="Arial" w:hAnsi="Arial" w:cs="Arial"/>
                      <w:i/>
                      <w:sz w:val="18"/>
                      <w:szCs w:val="18"/>
                    </w:rPr>
                  </w:pPr>
                  <w:r w:rsidRPr="00047D6D">
                    <w:rPr>
                      <w:rFonts w:ascii="Arial" w:hAnsi="Arial" w:cs="Arial"/>
                      <w:i/>
                      <w:sz w:val="18"/>
                      <w:szCs w:val="18"/>
                    </w:rPr>
                    <w:t>Geometry, Measurement</w:t>
                  </w:r>
                  <w:r>
                    <w:rPr>
                      <w:rFonts w:ascii="Arial" w:hAnsi="Arial" w:cs="Arial"/>
                      <w:i/>
                      <w:sz w:val="18"/>
                      <w:szCs w:val="18"/>
                    </w:rPr>
                    <w:t xml:space="preserve"> </w:t>
                  </w:r>
                  <w:r w:rsidRPr="00047D6D">
                    <w:rPr>
                      <w:rFonts w:ascii="Arial" w:hAnsi="Arial" w:cs="Arial"/>
                      <w:i/>
                      <w:sz w:val="18"/>
                      <w:szCs w:val="18"/>
                    </w:rPr>
                    <w:t>and Finance 10</w:t>
                  </w:r>
                  <w:r>
                    <w:rPr>
                      <w:rFonts w:ascii="Arial" w:hAnsi="Arial" w:cs="Arial"/>
                      <w:i/>
                      <w:sz w:val="18"/>
                      <w:szCs w:val="18"/>
                    </w:rPr>
                    <w:tab/>
                  </w:r>
                </w:p>
                <w:p w:rsidR="008D0A28" w:rsidRPr="00047D6D" w:rsidRDefault="008D0A28" w:rsidP="008D0A28">
                  <w:pPr>
                    <w:rPr>
                      <w:rFonts w:ascii="Arial" w:hAnsi="Arial" w:cs="Arial"/>
                      <w:i/>
                      <w:sz w:val="18"/>
                      <w:szCs w:val="18"/>
                    </w:rPr>
                  </w:pPr>
                  <w:r>
                    <w:rPr>
                      <w:rFonts w:ascii="Arial" w:hAnsi="Arial" w:cs="Arial"/>
                      <w:i/>
                      <w:sz w:val="18"/>
                      <w:szCs w:val="18"/>
                    </w:rPr>
                    <w:t xml:space="preserve">   </w:t>
                  </w:r>
                  <w:r w:rsidRPr="008D0C83">
                    <w:rPr>
                      <w:rFonts w:ascii="Arial" w:hAnsi="Arial" w:cs="Arial"/>
                      <w:i/>
                      <w:sz w:val="18"/>
                      <w:szCs w:val="18"/>
                      <w:u w:val="single"/>
                    </w:rPr>
                    <w:t>AND</w:t>
                  </w:r>
                  <w:r>
                    <w:rPr>
                      <w:rFonts w:ascii="Arial" w:hAnsi="Arial" w:cs="Arial"/>
                      <w:i/>
                      <w:sz w:val="18"/>
                      <w:szCs w:val="18"/>
                      <w:u w:val="single"/>
                    </w:rPr>
                    <w:t xml:space="preserve"> </w:t>
                  </w:r>
                  <w:r>
                    <w:rPr>
                      <w:rFonts w:ascii="Arial" w:hAnsi="Arial" w:cs="Arial"/>
                      <w:i/>
                      <w:sz w:val="18"/>
                      <w:szCs w:val="18"/>
                    </w:rPr>
                    <w:t xml:space="preserve">   </w:t>
                  </w:r>
                  <w:r w:rsidRPr="00047D6D">
                    <w:rPr>
                      <w:rFonts w:ascii="Arial" w:hAnsi="Arial" w:cs="Arial"/>
                      <w:i/>
                      <w:sz w:val="18"/>
                      <w:szCs w:val="18"/>
                    </w:rPr>
                    <w:t xml:space="preserve">Number, Relations and </w:t>
                  </w:r>
                  <w:r>
                    <w:rPr>
                      <w:rFonts w:ascii="Arial" w:hAnsi="Arial" w:cs="Arial"/>
                      <w:i/>
                      <w:sz w:val="18"/>
                      <w:szCs w:val="18"/>
                    </w:rPr>
                    <w:t>Functions 10</w:t>
                  </w:r>
                </w:p>
              </w:txbxContent>
            </v:textbox>
          </v:shape>
        </w:pict>
      </w:r>
      <w:r w:rsidRPr="006B4BFB">
        <w:rPr>
          <w:rFonts w:ascii="Arial" w:hAnsi="Arial" w:cs="Arial"/>
          <w:noProof/>
          <w:sz w:val="22"/>
          <w:szCs w:val="22"/>
          <w:lang w:eastAsia="en-CA"/>
        </w:rPr>
        <w:pict>
          <v:shape id="_x0000_s1032" type="#_x0000_t202" style="position:absolute;left:0;text-align:left;margin-left:-11.85pt;margin-top:7.05pt;width:141pt;height:59.55pt;z-index:251665920;mso-width-relative:margin;mso-height-relative:margin" o:regroupid="1" fillcolor="#fde9d9 [665]" strokeweight="1pt">
            <v:stroke dashstyle="1 1"/>
            <v:textbox style="mso-next-textbox:#_x0000_s1032">
              <w:txbxContent>
                <w:p w:rsidR="008D0A28" w:rsidRDefault="008D0A28" w:rsidP="008D0A28">
                  <w:pPr>
                    <w:rPr>
                      <w:rFonts w:ascii="Arial" w:hAnsi="Arial" w:cs="Arial"/>
                      <w:i/>
                      <w:sz w:val="18"/>
                      <w:szCs w:val="18"/>
                    </w:rPr>
                  </w:pPr>
                  <w:r>
                    <w:rPr>
                      <w:rFonts w:ascii="Arial" w:hAnsi="Arial" w:cs="Arial"/>
                      <w:i/>
                      <w:sz w:val="18"/>
                      <w:szCs w:val="18"/>
                      <w:u w:val="single"/>
                    </w:rPr>
                    <w:t>Pre-requisite</w:t>
                  </w:r>
                  <w:r>
                    <w:rPr>
                      <w:rFonts w:ascii="Arial" w:hAnsi="Arial" w:cs="Arial"/>
                      <w:i/>
                      <w:sz w:val="18"/>
                      <w:szCs w:val="18"/>
                    </w:rPr>
                    <w:t xml:space="preserve">: </w:t>
                  </w:r>
                </w:p>
                <w:p w:rsidR="008D0A28" w:rsidRDefault="008D0A28" w:rsidP="008D0A28">
                  <w:pPr>
                    <w:rPr>
                      <w:rFonts w:ascii="Arial" w:hAnsi="Arial" w:cs="Arial"/>
                      <w:i/>
                      <w:sz w:val="18"/>
                      <w:szCs w:val="18"/>
                    </w:rPr>
                  </w:pPr>
                  <w:r w:rsidRPr="00047D6D">
                    <w:rPr>
                      <w:rFonts w:ascii="Arial" w:hAnsi="Arial" w:cs="Arial"/>
                      <w:i/>
                      <w:sz w:val="18"/>
                      <w:szCs w:val="18"/>
                    </w:rPr>
                    <w:t>Geometry, Measurement</w:t>
                  </w:r>
                  <w:r>
                    <w:rPr>
                      <w:rFonts w:ascii="Arial" w:hAnsi="Arial" w:cs="Arial"/>
                      <w:i/>
                      <w:sz w:val="18"/>
                      <w:szCs w:val="18"/>
                    </w:rPr>
                    <w:t xml:space="preserve"> </w:t>
                  </w:r>
                  <w:r w:rsidRPr="00047D6D">
                    <w:rPr>
                      <w:rFonts w:ascii="Arial" w:hAnsi="Arial" w:cs="Arial"/>
                      <w:i/>
                      <w:sz w:val="18"/>
                      <w:szCs w:val="18"/>
                    </w:rPr>
                    <w:t>and Finance 10</w:t>
                  </w:r>
                </w:p>
              </w:txbxContent>
            </v:textbox>
          </v:shape>
        </w:pict>
      </w:r>
      <w:r w:rsidRPr="006B4BFB">
        <w:rPr>
          <w:rFonts w:ascii="Arial" w:hAnsi="Arial" w:cs="Arial"/>
          <w:noProof/>
          <w:sz w:val="22"/>
          <w:szCs w:val="22"/>
          <w:lang w:eastAsia="en-CA"/>
        </w:rPr>
        <w:pict>
          <v:shape id="_x0000_s1037" type="#_x0000_t202" style="position:absolute;left:0;text-align:left;margin-left:306.5pt;margin-top:8.15pt;width:148.1pt;height:58.45pt;z-index:251661824;mso-width-relative:margin;mso-height-relative:margin" filled="f" strokeweight="1pt">
            <v:stroke dashstyle="1 1"/>
            <v:textbox style="mso-next-textbox:#_x0000_s1037">
              <w:txbxContent>
                <w:p w:rsidR="008D0A28" w:rsidRDefault="008D0A28" w:rsidP="008D0A28">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 xml:space="preserve"> or Co-requisite</w:t>
                  </w:r>
                  <w:r w:rsidRPr="007304F1">
                    <w:rPr>
                      <w:rFonts w:ascii="Arial" w:hAnsi="Arial" w:cs="Arial"/>
                      <w:i/>
                      <w:sz w:val="18"/>
                      <w:szCs w:val="18"/>
                    </w:rPr>
                    <w:t xml:space="preserve">: </w:t>
                  </w:r>
                </w:p>
                <w:p w:rsidR="008D0A28" w:rsidRDefault="008D0A28" w:rsidP="008D0A28">
                  <w:pPr>
                    <w:rPr>
                      <w:rFonts w:ascii="Arial" w:hAnsi="Arial" w:cs="Arial"/>
                      <w:i/>
                      <w:sz w:val="18"/>
                      <w:szCs w:val="18"/>
                    </w:rPr>
                  </w:pPr>
                  <w:r w:rsidRPr="008D0C83">
                    <w:rPr>
                      <w:rFonts w:ascii="Arial" w:hAnsi="Arial" w:cs="Arial"/>
                      <w:i/>
                      <w:sz w:val="18"/>
                      <w:szCs w:val="18"/>
                    </w:rPr>
                    <w:t xml:space="preserve">Foundations of </w:t>
                  </w:r>
                </w:p>
                <w:p w:rsidR="008D0A28" w:rsidRPr="008D0C83" w:rsidRDefault="008D0A28" w:rsidP="008D0A28">
                  <w:pPr>
                    <w:rPr>
                      <w:rFonts w:ascii="Arial" w:hAnsi="Arial" w:cs="Arial"/>
                      <w:i/>
                      <w:sz w:val="18"/>
                      <w:szCs w:val="18"/>
                    </w:rPr>
                  </w:pPr>
                  <w:r w:rsidRPr="008D0C83">
                    <w:rPr>
                      <w:rFonts w:ascii="Arial" w:hAnsi="Arial" w:cs="Arial"/>
                      <w:i/>
                      <w:sz w:val="18"/>
                      <w:szCs w:val="18"/>
                    </w:rPr>
                    <w:t>Mathematics 11</w:t>
                  </w:r>
                </w:p>
              </w:txbxContent>
            </v:textbox>
          </v:shape>
        </w:pict>
      </w:r>
    </w:p>
    <w:p w:rsidR="008D0A28" w:rsidRDefault="008D0A28" w:rsidP="008D0A28">
      <w:pPr>
        <w:jc w:val="both"/>
        <w:rPr>
          <w:rFonts w:ascii="Arial" w:hAnsi="Arial" w:cs="Arial"/>
          <w:sz w:val="22"/>
          <w:szCs w:val="22"/>
        </w:rPr>
      </w:pPr>
    </w:p>
    <w:p w:rsidR="008D0A28" w:rsidRPr="00175872" w:rsidRDefault="00175872" w:rsidP="008D0A28">
      <w:pPr>
        <w:jc w:val="both"/>
        <w:rPr>
          <w:rFonts w:ascii="Arial" w:hAnsi="Arial" w:cs="Arial"/>
          <w:b/>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175872">
        <w:rPr>
          <w:rFonts w:ascii="Arial" w:hAnsi="Arial" w:cs="Arial"/>
          <w:b/>
        </w:rPr>
        <w:t>OR</w:t>
      </w:r>
    </w:p>
    <w:p w:rsidR="008D0A28" w:rsidRDefault="008D0A28" w:rsidP="008D0A28">
      <w:pPr>
        <w:jc w:val="both"/>
        <w:rPr>
          <w:rFonts w:ascii="Arial" w:hAnsi="Arial" w:cs="Arial"/>
          <w:sz w:val="22"/>
          <w:szCs w:val="22"/>
        </w:rPr>
      </w:pPr>
    </w:p>
    <w:p w:rsidR="008D0A28" w:rsidRDefault="008D0A28" w:rsidP="008D0A28">
      <w:pPr>
        <w:jc w:val="both"/>
        <w:rPr>
          <w:rFonts w:ascii="Arial" w:hAnsi="Arial" w:cs="Arial"/>
          <w:sz w:val="22"/>
          <w:szCs w:val="22"/>
        </w:rPr>
      </w:pPr>
    </w:p>
    <w:p w:rsidR="008D0A28" w:rsidRDefault="006B4BFB" w:rsidP="008D0A28">
      <w:pPr>
        <w:jc w:val="both"/>
        <w:rPr>
          <w:rFonts w:ascii="Arial" w:hAnsi="Arial" w:cs="Arial"/>
          <w:sz w:val="22"/>
          <w:szCs w:val="22"/>
        </w:rPr>
      </w:pPr>
      <w:r w:rsidRPr="006B4BFB">
        <w:rPr>
          <w:rFonts w:ascii="Arial" w:hAnsi="Arial" w:cs="Arial"/>
          <w:noProof/>
          <w:sz w:val="22"/>
          <w:szCs w:val="22"/>
          <w:lang w:val="fr-CA" w:eastAsia="fr-CA"/>
        </w:rPr>
        <w:pict>
          <v:shape id="_x0000_s1031" type="#_x0000_t202" style="position:absolute;left:0;text-align:left;margin-left:-11.85pt;margin-top:10.6pt;width:466.45pt;height:40.45pt;z-index:251655680;mso-width-relative:margin;mso-height-relative:margin" filled="f">
            <v:stroke dashstyle="dashDot"/>
            <v:textbox style="mso-next-textbox:#_x0000_s1031">
              <w:txbxContent>
                <w:p w:rsidR="008D0A28" w:rsidRPr="00A04D4F" w:rsidRDefault="008D0A28" w:rsidP="008D0A28">
                  <w:pPr>
                    <w:jc w:val="center"/>
                    <w:rPr>
                      <w:rFonts w:ascii="Arial" w:hAnsi="Arial" w:cs="Arial"/>
                      <w:b/>
                      <w:i/>
                      <w:sz w:val="18"/>
                      <w:szCs w:val="18"/>
                      <w:u w:val="single"/>
                    </w:rPr>
                  </w:pPr>
                  <w:r>
                    <w:rPr>
                      <w:rFonts w:ascii="Arial" w:hAnsi="Arial" w:cs="Arial"/>
                      <w:b/>
                      <w:i/>
                      <w:sz w:val="18"/>
                      <w:szCs w:val="18"/>
                      <w:u w:val="single"/>
                    </w:rPr>
                    <w:t>Grade 12</w:t>
                  </w:r>
                </w:p>
                <w:p w:rsidR="008D0A28" w:rsidRPr="00B376D8" w:rsidRDefault="008D0A28" w:rsidP="008D0A28">
                  <w:pPr>
                    <w:pStyle w:val="ListParagraph"/>
                    <w:numPr>
                      <w:ilvl w:val="0"/>
                      <w:numId w:val="2"/>
                    </w:numPr>
                    <w:ind w:left="142" w:hanging="142"/>
                    <w:jc w:val="center"/>
                    <w:rPr>
                      <w:rFonts w:ascii="Arial" w:hAnsi="Arial" w:cs="Arial"/>
                      <w:i/>
                      <w:sz w:val="18"/>
                      <w:szCs w:val="18"/>
                    </w:rPr>
                  </w:pPr>
                  <w:r>
                    <w:rPr>
                      <w:rFonts w:ascii="Arial" w:hAnsi="Arial" w:cs="Arial"/>
                      <w:i/>
                      <w:sz w:val="18"/>
                      <w:szCs w:val="18"/>
                    </w:rPr>
                    <w:t>5 x 90 hr courses offered in 3 pathways</w:t>
                  </w:r>
                </w:p>
                <w:p w:rsidR="008D0A28" w:rsidRDefault="008D0A28" w:rsidP="008D0A28">
                  <w:pPr>
                    <w:pStyle w:val="ListParagraph"/>
                    <w:numPr>
                      <w:ilvl w:val="0"/>
                      <w:numId w:val="2"/>
                    </w:numPr>
                    <w:ind w:left="142" w:hanging="142"/>
                    <w:jc w:val="center"/>
                    <w:rPr>
                      <w:rFonts w:ascii="Arial" w:hAnsi="Arial" w:cs="Arial"/>
                      <w:i/>
                      <w:sz w:val="18"/>
                      <w:szCs w:val="18"/>
                    </w:rPr>
                  </w:pPr>
                  <w:r>
                    <w:rPr>
                      <w:rFonts w:ascii="Arial" w:hAnsi="Arial" w:cs="Arial"/>
                      <w:i/>
                      <w:sz w:val="18"/>
                      <w:szCs w:val="18"/>
                    </w:rPr>
                    <w:t>Pre-requisite Grade 11 or Grade 12 course must be passed before taking Grade 12 courses.</w:t>
                  </w:r>
                </w:p>
                <w:p w:rsidR="008D0A28" w:rsidRDefault="008D0A28" w:rsidP="008D0A28"/>
              </w:txbxContent>
            </v:textbox>
          </v:shape>
        </w:pict>
      </w:r>
    </w:p>
    <w:p w:rsidR="008D0A28" w:rsidRDefault="008D0A28" w:rsidP="008D0A28">
      <w:pPr>
        <w:jc w:val="both"/>
        <w:rPr>
          <w:rFonts w:ascii="Arial" w:hAnsi="Arial" w:cs="Arial"/>
          <w:sz w:val="22"/>
          <w:szCs w:val="22"/>
        </w:rPr>
      </w:pPr>
    </w:p>
    <w:p w:rsidR="008D0A28" w:rsidRDefault="008D0A28" w:rsidP="008D0A28">
      <w:pPr>
        <w:jc w:val="both"/>
        <w:rPr>
          <w:rFonts w:ascii="Arial" w:hAnsi="Arial" w:cs="Arial"/>
          <w:sz w:val="22"/>
          <w:szCs w:val="22"/>
        </w:rPr>
      </w:pPr>
    </w:p>
    <w:p w:rsidR="008D0A28" w:rsidRDefault="008D0A28" w:rsidP="008D0A28">
      <w:pPr>
        <w:jc w:val="both"/>
        <w:rPr>
          <w:rFonts w:ascii="Arial" w:hAnsi="Arial" w:cs="Arial"/>
          <w:sz w:val="22"/>
          <w:szCs w:val="22"/>
        </w:rPr>
      </w:pPr>
    </w:p>
    <w:p w:rsidR="008D0A28" w:rsidRDefault="006B4BFB" w:rsidP="008D0A28">
      <w:pPr>
        <w:jc w:val="both"/>
        <w:rPr>
          <w:rFonts w:ascii="Arial" w:hAnsi="Arial" w:cs="Arial"/>
          <w:sz w:val="22"/>
          <w:szCs w:val="22"/>
        </w:rPr>
      </w:pPr>
      <w:r w:rsidRPr="006B4BFB">
        <w:rPr>
          <w:rFonts w:ascii="Arial" w:hAnsi="Arial" w:cs="Arial"/>
          <w:noProof/>
          <w:sz w:val="22"/>
          <w:szCs w:val="22"/>
          <w:lang w:eastAsia="en-CA"/>
        </w:rPr>
        <w:pict>
          <v:group id="_x0000_s1054" style="position:absolute;left:0;text-align:left;margin-left:153.9pt;margin-top:.25pt;width:141pt;height:64.9pt;z-index:251676672" coordorigin="4026,7459" coordsize="2820,1298">
            <v:shape id="_x0000_s1040" type="#_x0000_t202" style="position:absolute;left:4026;top:7459;width:2820;height:619;mso-width-relative:margin;mso-height-relative:margin" o:regroupid="3" fillcolor="#dbe5f1">
              <v:textbox style="mso-next-textbox:#_x0000_s1040">
                <w:txbxContent>
                  <w:p w:rsidR="008D0A28" w:rsidRPr="000D00E1" w:rsidRDefault="008D0A28" w:rsidP="008D0A28">
                    <w:pPr>
                      <w:jc w:val="center"/>
                      <w:rPr>
                        <w:rFonts w:ascii="Arial" w:hAnsi="Arial" w:cs="Arial"/>
                        <w:b/>
                        <w:sz w:val="20"/>
                        <w:szCs w:val="20"/>
                      </w:rPr>
                    </w:pPr>
                    <w:r w:rsidRPr="000D00E1">
                      <w:rPr>
                        <w:rFonts w:ascii="Arial" w:hAnsi="Arial" w:cs="Arial"/>
                        <w:b/>
                        <w:sz w:val="20"/>
                        <w:szCs w:val="20"/>
                      </w:rPr>
                      <w:t xml:space="preserve">Foundations of Mathematics </w:t>
                    </w:r>
                    <w:r>
                      <w:rPr>
                        <w:rFonts w:ascii="Arial" w:hAnsi="Arial" w:cs="Arial"/>
                        <w:b/>
                        <w:sz w:val="20"/>
                        <w:szCs w:val="20"/>
                      </w:rPr>
                      <w:t>12</w:t>
                    </w:r>
                  </w:p>
                  <w:p w:rsidR="008D0A28" w:rsidRPr="00C37A01" w:rsidRDefault="008D0A28" w:rsidP="008D0A28"/>
                </w:txbxContent>
              </v:textbox>
            </v:shape>
            <v:shape id="_x0000_s1041" type="#_x0000_t202" style="position:absolute;left:4026;top:8082;width:2820;height:675;mso-width-relative:margin;mso-height-relative:margin" o:regroupid="3" filled="f" strokeweight="1pt">
              <v:stroke dashstyle="1 1"/>
              <v:textbox style="mso-next-textbox:#_x0000_s1041">
                <w:txbxContent>
                  <w:p w:rsidR="008D0A28" w:rsidRPr="007304F1" w:rsidRDefault="008D0A28" w:rsidP="008D0A28">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Foundations of Mathematics 11</w:t>
                    </w:r>
                  </w:p>
                </w:txbxContent>
              </v:textbox>
            </v:shape>
          </v:group>
        </w:pict>
      </w:r>
      <w:r w:rsidRPr="006B4BFB">
        <w:rPr>
          <w:rFonts w:ascii="Arial" w:hAnsi="Arial" w:cs="Arial"/>
          <w:noProof/>
          <w:sz w:val="22"/>
          <w:szCs w:val="22"/>
          <w:lang w:eastAsia="en-CA"/>
        </w:rPr>
        <w:pict>
          <v:shape id="_x0000_s1042" type="#_x0000_t202" style="position:absolute;left:0;text-align:left;margin-left:306.5pt;margin-top:-.15pt;width:148.1pt;height:30.6pt;z-index:251678208;mso-width-relative:margin;mso-height-relative:margin" o:regroupid="3" fillcolor="#acc8ea">
            <v:textbox style="mso-next-textbox:#_x0000_s1042">
              <w:txbxContent>
                <w:p w:rsidR="008D0A28" w:rsidRPr="000D00E1" w:rsidRDefault="008D0A28" w:rsidP="008D0A28">
                  <w:pPr>
                    <w:jc w:val="center"/>
                    <w:rPr>
                      <w:rFonts w:ascii="Arial" w:hAnsi="Arial" w:cs="Arial"/>
                      <w:b/>
                      <w:sz w:val="20"/>
                      <w:szCs w:val="20"/>
                    </w:rPr>
                  </w:pPr>
                  <w:r w:rsidRPr="000D00E1">
                    <w:rPr>
                      <w:rFonts w:ascii="Arial" w:hAnsi="Arial" w:cs="Arial"/>
                      <w:b/>
                      <w:sz w:val="20"/>
                      <w:szCs w:val="20"/>
                    </w:rPr>
                    <w:t>Pre-Calculus 1</w:t>
                  </w:r>
                  <w:r>
                    <w:rPr>
                      <w:rFonts w:ascii="Arial" w:hAnsi="Arial" w:cs="Arial"/>
                      <w:b/>
                      <w:sz w:val="20"/>
                      <w:szCs w:val="20"/>
                    </w:rPr>
                    <w:t>2A</w:t>
                  </w:r>
                </w:p>
                <w:p w:rsidR="008D0A28" w:rsidRPr="00C37A01" w:rsidRDefault="008D0A28" w:rsidP="008D0A28"/>
              </w:txbxContent>
            </v:textbox>
          </v:shape>
        </w:pict>
      </w:r>
      <w:r w:rsidRPr="006B4BFB">
        <w:rPr>
          <w:rFonts w:ascii="Arial" w:hAnsi="Arial" w:cs="Arial"/>
          <w:noProof/>
          <w:sz w:val="22"/>
          <w:szCs w:val="22"/>
          <w:lang w:eastAsia="en-CA"/>
        </w:rPr>
        <w:pict>
          <v:shape id="_x0000_s1038" type="#_x0000_t202" style="position:absolute;left:0;text-align:left;margin-left:-11.85pt;margin-top:.25pt;width:141pt;height:30.6pt;z-index:251674112;mso-width-relative:margin;mso-height-relative:margin" o:regroupid="3" fillcolor="#eaf1dd">
            <v:textbox style="mso-next-textbox:#_x0000_s1038">
              <w:txbxContent>
                <w:p w:rsidR="008D0A28" w:rsidRPr="000D00E1" w:rsidRDefault="008D0A28" w:rsidP="008D0A28">
                  <w:pPr>
                    <w:jc w:val="center"/>
                    <w:rPr>
                      <w:rFonts w:ascii="Arial" w:hAnsi="Arial" w:cs="Arial"/>
                      <w:b/>
                      <w:sz w:val="20"/>
                      <w:szCs w:val="20"/>
                    </w:rPr>
                  </w:pPr>
                  <w:r w:rsidRPr="000D00E1">
                    <w:rPr>
                      <w:rFonts w:ascii="Arial" w:hAnsi="Arial" w:cs="Arial"/>
                      <w:b/>
                      <w:sz w:val="20"/>
                      <w:szCs w:val="20"/>
                    </w:rPr>
                    <w:t xml:space="preserve">Financial and Workplace Mathematics </w:t>
                  </w:r>
                  <w:r>
                    <w:rPr>
                      <w:rFonts w:ascii="Arial" w:hAnsi="Arial" w:cs="Arial"/>
                      <w:b/>
                      <w:sz w:val="20"/>
                      <w:szCs w:val="20"/>
                    </w:rPr>
                    <w:t>12</w:t>
                  </w:r>
                </w:p>
                <w:p w:rsidR="008D0A28" w:rsidRPr="00C37A01" w:rsidRDefault="008D0A28" w:rsidP="008D0A28"/>
              </w:txbxContent>
            </v:textbox>
          </v:shape>
        </w:pict>
      </w:r>
    </w:p>
    <w:p w:rsidR="008D0A28" w:rsidRDefault="008D0A28" w:rsidP="008D0A28">
      <w:pPr>
        <w:jc w:val="both"/>
        <w:rPr>
          <w:rFonts w:ascii="Arial" w:hAnsi="Arial" w:cs="Arial"/>
          <w:sz w:val="22"/>
          <w:szCs w:val="22"/>
        </w:rPr>
      </w:pPr>
    </w:p>
    <w:p w:rsidR="008D0A28" w:rsidRDefault="006B4BFB" w:rsidP="008D0A28">
      <w:pPr>
        <w:jc w:val="both"/>
        <w:rPr>
          <w:rFonts w:ascii="Arial" w:hAnsi="Arial" w:cs="Arial"/>
          <w:sz w:val="22"/>
          <w:szCs w:val="22"/>
        </w:rPr>
      </w:pPr>
      <w:r w:rsidRPr="006B4BFB">
        <w:rPr>
          <w:rFonts w:ascii="Arial" w:hAnsi="Arial" w:cs="Arial"/>
          <w:noProof/>
          <w:sz w:val="22"/>
          <w:szCs w:val="22"/>
          <w:lang w:eastAsia="en-CA"/>
        </w:rPr>
        <w:pict>
          <v:shape id="_x0000_s1043" type="#_x0000_t202" style="position:absolute;left:0;text-align:left;margin-left:306.5pt;margin-top:5.35pt;width:148.1pt;height:30pt;z-index:251679232;mso-width-relative:margin;mso-height-relative:margin" o:regroupid="3" filled="f" strokeweight="1pt">
            <v:stroke dashstyle="1 1"/>
            <v:textbox style="mso-next-textbox:#_x0000_s1043">
              <w:txbxContent>
                <w:p w:rsidR="008D0A28" w:rsidRPr="007304F1" w:rsidRDefault="008D0A28" w:rsidP="008D0A28">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11</w:t>
                  </w:r>
                </w:p>
              </w:txbxContent>
            </v:textbox>
          </v:shape>
        </w:pict>
      </w:r>
      <w:r w:rsidRPr="006B4BFB">
        <w:rPr>
          <w:rFonts w:ascii="Arial" w:hAnsi="Arial" w:cs="Arial"/>
          <w:noProof/>
          <w:sz w:val="22"/>
          <w:szCs w:val="22"/>
          <w:lang w:eastAsia="en-CA"/>
        </w:rPr>
        <w:pict>
          <v:shape id="_x0000_s1039" type="#_x0000_t202" style="position:absolute;left:0;text-align:left;margin-left:-11.85pt;margin-top:5.15pt;width:141pt;height:33.75pt;z-index:251675136;mso-width-relative:margin;mso-height-relative:margin" o:regroupid="3" filled="f" strokeweight="1pt">
            <v:stroke dashstyle="1 1"/>
            <v:textbox style="mso-next-textbox:#_x0000_s1039">
              <w:txbxContent>
                <w:p w:rsidR="008D0A28" w:rsidRPr="007304F1" w:rsidRDefault="008D0A28" w:rsidP="008D0A28">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Financial and Workplace Mathematics 11</w:t>
                  </w:r>
                </w:p>
              </w:txbxContent>
            </v:textbox>
          </v:shape>
        </w:pict>
      </w:r>
    </w:p>
    <w:p w:rsidR="008D0A28" w:rsidRPr="00FD2DE6" w:rsidRDefault="008D0A28" w:rsidP="008D0A28">
      <w:pPr>
        <w:jc w:val="both"/>
        <w:rPr>
          <w:rFonts w:ascii="Arial" w:hAnsi="Arial" w:cs="Arial"/>
          <w:sz w:val="16"/>
          <w:szCs w:val="16"/>
        </w:rPr>
      </w:pPr>
    </w:p>
    <w:p w:rsidR="008D0A28" w:rsidRDefault="008D0A28" w:rsidP="008D0A28">
      <w:pPr>
        <w:jc w:val="both"/>
        <w:rPr>
          <w:rFonts w:ascii="Arial" w:hAnsi="Arial" w:cs="Arial"/>
          <w:sz w:val="22"/>
          <w:szCs w:val="22"/>
        </w:rPr>
      </w:pPr>
    </w:p>
    <w:p w:rsidR="008D0A28" w:rsidRDefault="006B4BFB" w:rsidP="008D0A28">
      <w:pPr>
        <w:jc w:val="both"/>
        <w:rPr>
          <w:rFonts w:ascii="Arial" w:hAnsi="Arial" w:cs="Arial"/>
          <w:sz w:val="22"/>
          <w:szCs w:val="22"/>
        </w:rPr>
      </w:pPr>
      <w:r w:rsidRPr="006B4BFB">
        <w:rPr>
          <w:rFonts w:ascii="Arial" w:hAnsi="Arial" w:cs="Arial"/>
          <w:noProof/>
          <w:sz w:val="22"/>
          <w:szCs w:val="22"/>
          <w:lang w:eastAsia="en-CA"/>
        </w:rPr>
        <w:pict>
          <v:group id="_x0000_s1049" style="position:absolute;left:0;text-align:left;margin-left:306.5pt;margin-top:.1pt;width:148.1pt;height:55.55pt;z-index:251663872" coordorigin="7210,9246" coordsize="2962,1111">
            <v:shape id="_x0000_s1044" type="#_x0000_t202" style="position:absolute;left:7210;top:9246;width:2962;height:511;mso-width-relative:margin;mso-height-relative:margin" fillcolor="#acc8ea">
              <v:textbox style="mso-next-textbox:#_x0000_s1044">
                <w:txbxContent>
                  <w:p w:rsidR="008D0A28" w:rsidRPr="000D00E1" w:rsidRDefault="008D0A28" w:rsidP="008D0A28">
                    <w:pPr>
                      <w:jc w:val="center"/>
                      <w:rPr>
                        <w:rFonts w:ascii="Arial" w:hAnsi="Arial" w:cs="Arial"/>
                        <w:b/>
                        <w:sz w:val="20"/>
                        <w:szCs w:val="20"/>
                      </w:rPr>
                    </w:pPr>
                    <w:r w:rsidRPr="000D00E1">
                      <w:rPr>
                        <w:rFonts w:ascii="Arial" w:hAnsi="Arial" w:cs="Arial"/>
                        <w:b/>
                        <w:sz w:val="20"/>
                        <w:szCs w:val="20"/>
                      </w:rPr>
                      <w:t>Pre-Calculus 1</w:t>
                    </w:r>
                    <w:r>
                      <w:rPr>
                        <w:rFonts w:ascii="Arial" w:hAnsi="Arial" w:cs="Arial"/>
                        <w:b/>
                        <w:sz w:val="20"/>
                        <w:szCs w:val="20"/>
                      </w:rPr>
                      <w:t>2B</w:t>
                    </w:r>
                  </w:p>
                  <w:p w:rsidR="008D0A28" w:rsidRPr="00C37A01" w:rsidRDefault="008D0A28" w:rsidP="008D0A28"/>
                </w:txbxContent>
              </v:textbox>
            </v:shape>
            <v:shape id="_x0000_s1045" type="#_x0000_t202" style="position:absolute;left:7210;top:9757;width:2962;height:600;mso-width-relative:margin;mso-height-relative:margin" filled="f" strokeweight="1pt">
              <v:stroke dashstyle="1 1"/>
              <v:textbox style="mso-next-textbox:#_x0000_s1045">
                <w:txbxContent>
                  <w:p w:rsidR="008D0A28" w:rsidRPr="007304F1" w:rsidRDefault="008D0A28" w:rsidP="008D0A28">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12A</w:t>
                    </w:r>
                  </w:p>
                </w:txbxContent>
              </v:textbox>
            </v:shape>
          </v:group>
        </w:pict>
      </w:r>
    </w:p>
    <w:p w:rsidR="008D0A28" w:rsidRDefault="008D0A28" w:rsidP="008D0A28">
      <w:pPr>
        <w:jc w:val="both"/>
        <w:rPr>
          <w:rFonts w:ascii="Arial" w:hAnsi="Arial" w:cs="Arial"/>
          <w:sz w:val="22"/>
          <w:szCs w:val="22"/>
        </w:rPr>
      </w:pPr>
    </w:p>
    <w:p w:rsidR="008D0A28" w:rsidRDefault="008D0A28" w:rsidP="008D0A28">
      <w:pPr>
        <w:jc w:val="both"/>
        <w:rPr>
          <w:rFonts w:ascii="Arial" w:hAnsi="Arial" w:cs="Arial"/>
          <w:sz w:val="22"/>
          <w:szCs w:val="22"/>
        </w:rPr>
      </w:pPr>
    </w:p>
    <w:p w:rsidR="008D0A28" w:rsidRDefault="008D0A28" w:rsidP="008D0A28">
      <w:pPr>
        <w:jc w:val="both"/>
        <w:rPr>
          <w:rFonts w:ascii="Arial" w:hAnsi="Arial" w:cs="Arial"/>
          <w:sz w:val="22"/>
          <w:szCs w:val="22"/>
        </w:rPr>
      </w:pPr>
    </w:p>
    <w:p w:rsidR="008D0A28" w:rsidRDefault="006B4BFB" w:rsidP="008D0A28">
      <w:pPr>
        <w:jc w:val="both"/>
        <w:rPr>
          <w:rFonts w:ascii="Arial" w:hAnsi="Arial" w:cs="Arial"/>
          <w:sz w:val="22"/>
          <w:szCs w:val="22"/>
        </w:rPr>
      </w:pPr>
      <w:r w:rsidRPr="006B4BFB">
        <w:rPr>
          <w:rFonts w:ascii="Arial" w:hAnsi="Arial" w:cs="Arial"/>
          <w:noProof/>
          <w:sz w:val="22"/>
          <w:szCs w:val="22"/>
          <w:lang w:eastAsia="en-CA"/>
        </w:rPr>
        <w:pict>
          <v:group id="_x0000_s1050" style="position:absolute;left:0;text-align:left;margin-left:306.5pt;margin-top:4pt;width:148.1pt;height:55.55pt;z-index:251664896" coordorigin="7210,10528" coordsize="2962,1111">
            <v:shape id="_x0000_s1046" type="#_x0000_t202" style="position:absolute;left:7210;top:11039;width:2962;height:600;mso-width-relative:margin;mso-height-relative:margin" filled="f" strokeweight="1pt">
              <v:stroke dashstyle="1 1"/>
              <v:textbox style="mso-next-textbox:#_x0000_s1046">
                <w:txbxContent>
                  <w:p w:rsidR="008D0A28" w:rsidRPr="007304F1" w:rsidRDefault="008D0A28" w:rsidP="008D0A28">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12B</w:t>
                    </w:r>
                  </w:p>
                </w:txbxContent>
              </v:textbox>
            </v:shape>
            <v:shape id="_x0000_s1047" type="#_x0000_t202" style="position:absolute;left:7210;top:10528;width:2962;height:511;mso-width-relative:margin;mso-height-relative:margin" fillcolor="#acc8ea">
              <v:textbox style="mso-next-textbox:#_x0000_s1047">
                <w:txbxContent>
                  <w:p w:rsidR="008D0A28" w:rsidRPr="000D00E1" w:rsidRDefault="008D0A28" w:rsidP="008D0A28">
                    <w:pPr>
                      <w:jc w:val="center"/>
                      <w:rPr>
                        <w:rFonts w:ascii="Arial" w:hAnsi="Arial" w:cs="Arial"/>
                        <w:b/>
                        <w:sz w:val="20"/>
                        <w:szCs w:val="20"/>
                      </w:rPr>
                    </w:pPr>
                    <w:r w:rsidRPr="000D00E1">
                      <w:rPr>
                        <w:rFonts w:ascii="Arial" w:hAnsi="Arial" w:cs="Arial"/>
                        <w:b/>
                        <w:sz w:val="20"/>
                        <w:szCs w:val="20"/>
                      </w:rPr>
                      <w:t>Calculus 1</w:t>
                    </w:r>
                    <w:r>
                      <w:rPr>
                        <w:rFonts w:ascii="Arial" w:hAnsi="Arial" w:cs="Arial"/>
                        <w:b/>
                        <w:sz w:val="20"/>
                        <w:szCs w:val="20"/>
                      </w:rPr>
                      <w:t>2</w:t>
                    </w:r>
                  </w:p>
                  <w:p w:rsidR="008D0A28" w:rsidRPr="00C37A01" w:rsidRDefault="008D0A28" w:rsidP="008D0A28"/>
                </w:txbxContent>
              </v:textbox>
            </v:shape>
          </v:group>
        </w:pict>
      </w:r>
    </w:p>
    <w:p w:rsidR="008D0A28" w:rsidRDefault="008D0A28" w:rsidP="008D0A28">
      <w:pPr>
        <w:jc w:val="both"/>
        <w:rPr>
          <w:rFonts w:ascii="Arial" w:hAnsi="Arial" w:cs="Arial"/>
          <w:sz w:val="22"/>
          <w:szCs w:val="22"/>
        </w:rPr>
      </w:pPr>
    </w:p>
    <w:p w:rsidR="008D0A28" w:rsidRPr="00E3701F" w:rsidRDefault="008D0A28" w:rsidP="008D0A28"/>
    <w:p w:rsidR="008D0A28" w:rsidRPr="00363E8D" w:rsidRDefault="008D0A28" w:rsidP="008D0A28">
      <w:pPr>
        <w:pStyle w:val="Heading2"/>
        <w:rPr>
          <w:rFonts w:ascii="Arial Narrow" w:eastAsia="Calibri" w:hAnsi="Arial Narrow" w:cs="Arial"/>
          <w:b w:val="0"/>
          <w:bCs w:val="0"/>
          <w:color w:val="000000"/>
          <w:sz w:val="28"/>
          <w:szCs w:val="28"/>
          <w:lang w:eastAsia="en-CA"/>
        </w:rPr>
      </w:pPr>
      <w:bookmarkStart w:id="6" w:name="_Toc286004720"/>
      <w:bookmarkStart w:id="7" w:name="_Toc308010991"/>
      <w:r w:rsidRPr="00363E8D">
        <w:rPr>
          <w:rFonts w:ascii="Arial Narrow" w:eastAsia="Calibri" w:hAnsi="Arial Narrow" w:cs="Arial"/>
          <w:b w:val="0"/>
          <w:bCs w:val="0"/>
          <w:color w:val="000000"/>
          <w:sz w:val="28"/>
          <w:szCs w:val="28"/>
          <w:lang w:eastAsia="en-CA"/>
        </w:rPr>
        <w:t>SUMMARY</w:t>
      </w:r>
      <w:bookmarkEnd w:id="6"/>
      <w:bookmarkEnd w:id="7"/>
    </w:p>
    <w:p w:rsidR="008D0A28" w:rsidRDefault="008D0A28" w:rsidP="008D0A28">
      <w:pPr>
        <w:rPr>
          <w:rFonts w:eastAsia="Calibri"/>
          <w:sz w:val="16"/>
          <w:szCs w:val="16"/>
          <w:lang w:eastAsia="en-CA"/>
        </w:rPr>
      </w:pPr>
    </w:p>
    <w:p w:rsidR="007A7319" w:rsidRDefault="008D0A28" w:rsidP="008D0A28">
      <w:pPr>
        <w:autoSpaceDE w:val="0"/>
        <w:autoSpaceDN w:val="0"/>
        <w:adjustRightInd w:val="0"/>
      </w:pPr>
      <w:r>
        <w:rPr>
          <w:rFonts w:ascii="Arial" w:eastAsia="Calibri" w:hAnsi="Arial" w:cs="Arial"/>
          <w:sz w:val="22"/>
          <w:szCs w:val="22"/>
          <w:lang w:eastAsia="en-CA"/>
        </w:rPr>
        <w:t>The Conceptual Framework for Grades 10–12 Mathematics describes the nature of mathematics, the mathematical processes, the pathways and topics, and the role of outcomes and achievement indicators in grades 10–12 mathematics. Activities that take place in the mathematics classroom should be based on a problem-solving approach that incorporates the mathematical processes and leads students to an understanding of the nature of mathematics.</w:t>
      </w:r>
    </w:p>
    <w:sectPr w:rsidR="007A7319" w:rsidSect="008D0A28">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449E"/>
    <w:multiLevelType w:val="hybridMultilevel"/>
    <w:tmpl w:val="646CE87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
    <w:nsid w:val="67A86350"/>
    <w:multiLevelType w:val="hybridMultilevel"/>
    <w:tmpl w:val="0C3CB4FE"/>
    <w:lvl w:ilvl="0" w:tplc="A1BE71F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E293921"/>
    <w:multiLevelType w:val="hybridMultilevel"/>
    <w:tmpl w:val="E41471DE"/>
    <w:lvl w:ilvl="0" w:tplc="4EE64F7C">
      <w:start w:val="1"/>
      <w:numFmt w:val="bullet"/>
      <w:lvlText w:val="•"/>
      <w:lvlJc w:val="left"/>
      <w:pPr>
        <w:tabs>
          <w:tab w:val="num" w:pos="144"/>
        </w:tabs>
        <w:ind w:left="144" w:hanging="144"/>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20"/>
  <w:displayHorizontalDrawingGridEvery w:val="2"/>
  <w:characterSpacingControl w:val="doNotCompress"/>
  <w:compat/>
  <w:rsids>
    <w:rsidRoot w:val="008D0A28"/>
    <w:rsid w:val="000A33DA"/>
    <w:rsid w:val="000F258F"/>
    <w:rsid w:val="00114723"/>
    <w:rsid w:val="00175872"/>
    <w:rsid w:val="002A2FDC"/>
    <w:rsid w:val="002A32B3"/>
    <w:rsid w:val="00336C84"/>
    <w:rsid w:val="0037488C"/>
    <w:rsid w:val="00564019"/>
    <w:rsid w:val="006231C4"/>
    <w:rsid w:val="006B4BFB"/>
    <w:rsid w:val="007A7319"/>
    <w:rsid w:val="008432B7"/>
    <w:rsid w:val="008D0A28"/>
    <w:rsid w:val="009A247D"/>
    <w:rsid w:val="00CA7BA1"/>
    <w:rsid w:val="00CF79BA"/>
    <w:rsid w:val="00E16BF9"/>
    <w:rsid w:val="00EB3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colormenu v:ext="edit" fillcolor="none [665]"/>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28"/>
    <w:rPr>
      <w:rFonts w:ascii="Times New Roman" w:eastAsia="Times New Roman" w:hAnsi="Times New Roman"/>
      <w:sz w:val="24"/>
      <w:szCs w:val="24"/>
      <w:lang w:eastAsia="en-US"/>
    </w:rPr>
  </w:style>
  <w:style w:type="paragraph" w:styleId="Heading2">
    <w:name w:val="heading 2"/>
    <w:basedOn w:val="Normal"/>
    <w:next w:val="Normal"/>
    <w:link w:val="Heading2Char"/>
    <w:uiPriority w:val="9"/>
    <w:unhideWhenUsed/>
    <w:qFormat/>
    <w:rsid w:val="008D0A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D0A28"/>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0A28"/>
    <w:rPr>
      <w:rFonts w:ascii="Cambria" w:eastAsia="Times New Roman" w:hAnsi="Cambria" w:cs="Times New Roman"/>
      <w:b/>
      <w:bCs/>
      <w:color w:val="4F81BD"/>
      <w:sz w:val="26"/>
      <w:szCs w:val="26"/>
      <w:lang w:val="en-CA"/>
    </w:rPr>
  </w:style>
  <w:style w:type="character" w:customStyle="1" w:styleId="Heading3Char">
    <w:name w:val="Heading 3 Char"/>
    <w:basedOn w:val="DefaultParagraphFont"/>
    <w:link w:val="Heading3"/>
    <w:uiPriority w:val="9"/>
    <w:semiHidden/>
    <w:rsid w:val="008D0A28"/>
    <w:rPr>
      <w:rFonts w:ascii="Cambria" w:eastAsia="Times New Roman" w:hAnsi="Cambria" w:cs="Times New Roman"/>
      <w:b/>
      <w:bCs/>
      <w:color w:val="4F81BD"/>
      <w:sz w:val="24"/>
      <w:szCs w:val="24"/>
      <w:lang w:val="en-CA"/>
    </w:rPr>
  </w:style>
  <w:style w:type="paragraph" w:styleId="ListParagraph">
    <w:name w:val="List Paragraph"/>
    <w:basedOn w:val="Normal"/>
    <w:uiPriority w:val="34"/>
    <w:qFormat/>
    <w:rsid w:val="008D0A28"/>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martha.mcclure</dc:creator>
  <cp:lastModifiedBy>beverly.graves</cp:lastModifiedBy>
  <cp:revision>2</cp:revision>
  <cp:lastPrinted>2012-01-05T20:12:00Z</cp:lastPrinted>
  <dcterms:created xsi:type="dcterms:W3CDTF">2012-03-20T13:51:00Z</dcterms:created>
  <dcterms:modified xsi:type="dcterms:W3CDTF">2012-03-20T13:51:00Z</dcterms:modified>
</cp:coreProperties>
</file>